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620" w:lineRule="exact"/>
        <w:jc w:val="center"/>
        <w:rPr>
          <w:rFonts w:ascii="方正小标宋简体" w:eastAsia="方正小标宋简体"/>
          <w:sz w:val="44"/>
          <w:szCs w:val="44"/>
        </w:rPr>
      </w:pPr>
    </w:p>
    <w:p>
      <w:pPr>
        <w:spacing w:after="0" w:line="620" w:lineRule="exact"/>
        <w:jc w:val="center"/>
        <w:rPr>
          <w:rFonts w:ascii="方正小标宋简体" w:eastAsia="方正小标宋简体"/>
          <w:sz w:val="44"/>
          <w:szCs w:val="44"/>
        </w:rPr>
      </w:pPr>
      <w:r>
        <w:rPr>
          <w:rFonts w:hint="eastAsia" w:ascii="方正小标宋简体" w:eastAsia="方正小标宋简体"/>
          <w:sz w:val="44"/>
          <w:szCs w:val="44"/>
        </w:rPr>
        <w:t>政  府  工  作  报  告</w:t>
      </w:r>
    </w:p>
    <w:p>
      <w:pPr>
        <w:jc w:val="center"/>
        <w:rPr>
          <w:rFonts w:ascii="楷体_GB2312" w:hAnsi="华文仿宋" w:eastAsia="楷体_GB2312"/>
          <w:b/>
          <w:color w:val="000000"/>
          <w:sz w:val="28"/>
          <w:szCs w:val="28"/>
        </w:rPr>
      </w:pPr>
    </w:p>
    <w:p>
      <w:pPr>
        <w:ind w:left="-110" w:leftChars="-50" w:right="-110" w:rightChars="-50"/>
        <w:jc w:val="center"/>
        <w:rPr>
          <w:rFonts w:ascii="楷体_GB2312" w:hAnsi="华文仿宋" w:eastAsia="楷体_GB2312"/>
          <w:b/>
          <w:color w:val="000000"/>
          <w:sz w:val="28"/>
          <w:szCs w:val="28"/>
        </w:rPr>
      </w:pPr>
      <w:r>
        <w:rPr>
          <w:rFonts w:hint="eastAsia" w:asciiTheme="majorEastAsia" w:hAnsiTheme="majorEastAsia" w:eastAsiaTheme="majorEastAsia" w:cstheme="minorHAnsi"/>
          <w:b/>
          <w:color w:val="000000"/>
          <w:sz w:val="28"/>
          <w:szCs w:val="28"/>
        </w:rPr>
        <w:t>－－</w:t>
      </w:r>
      <w:r>
        <w:rPr>
          <w:rFonts w:hint="eastAsia" w:ascii="楷体_GB2312" w:hAnsi="华文仿宋" w:eastAsia="楷体_GB2312"/>
          <w:b/>
          <w:color w:val="000000"/>
          <w:w w:val="90"/>
          <w:sz w:val="28"/>
          <w:szCs w:val="28"/>
        </w:rPr>
        <w:t>2016年11月27日在岳阳市君山区第五届人民代表大会第一次会议上</w:t>
      </w:r>
    </w:p>
    <w:p>
      <w:pPr>
        <w:jc w:val="center"/>
        <w:rPr>
          <w:rFonts w:ascii="楷体_GB2312" w:hAnsi="宋体" w:eastAsia="楷体_GB2312"/>
          <w:b/>
          <w:color w:val="000000"/>
          <w:sz w:val="32"/>
          <w:szCs w:val="32"/>
        </w:rPr>
      </w:pPr>
      <w:r>
        <w:rPr>
          <w:rFonts w:hint="eastAsia" w:ascii="楷体_GB2312" w:hAnsi="宋体" w:eastAsia="楷体_GB2312"/>
          <w:b/>
          <w:color w:val="000000"/>
          <w:sz w:val="32"/>
          <w:szCs w:val="32"/>
        </w:rPr>
        <w:t>区人民政府代区长    李  勇</w:t>
      </w:r>
    </w:p>
    <w:p>
      <w:pPr>
        <w:spacing w:after="0" w:line="620" w:lineRule="exact"/>
        <w:ind w:firstLine="675"/>
        <w:jc w:val="both"/>
        <w:rPr>
          <w:rFonts w:ascii="仿宋" w:hAnsi="仿宋" w:eastAsia="仿宋"/>
          <w:sz w:val="32"/>
          <w:szCs w:val="32"/>
        </w:rPr>
      </w:pPr>
    </w:p>
    <w:p>
      <w:pPr>
        <w:spacing w:after="0" w:line="620" w:lineRule="exact"/>
        <w:jc w:val="both"/>
        <w:rPr>
          <w:rFonts w:ascii="仿宋" w:hAnsi="仿宋" w:eastAsia="仿宋"/>
          <w:sz w:val="36"/>
          <w:szCs w:val="36"/>
        </w:rPr>
      </w:pPr>
      <w:r>
        <w:rPr>
          <w:rFonts w:hint="eastAsia" w:ascii="仿宋" w:hAnsi="仿宋" w:eastAsia="仿宋"/>
          <w:sz w:val="36"/>
          <w:szCs w:val="36"/>
        </w:rPr>
        <w:t>各位代表：</w:t>
      </w:r>
    </w:p>
    <w:p>
      <w:pPr>
        <w:spacing w:after="0" w:line="620" w:lineRule="exact"/>
        <w:ind w:firstLine="720" w:firstLineChars="200"/>
        <w:jc w:val="both"/>
        <w:rPr>
          <w:rFonts w:ascii="仿宋" w:hAnsi="仿宋" w:eastAsia="仿宋"/>
          <w:sz w:val="36"/>
          <w:szCs w:val="36"/>
        </w:rPr>
      </w:pPr>
      <w:r>
        <w:rPr>
          <w:rFonts w:hint="eastAsia" w:ascii="仿宋" w:hAnsi="仿宋" w:eastAsia="仿宋"/>
          <w:sz w:val="36"/>
          <w:szCs w:val="36"/>
        </w:rPr>
        <w:t>现在，我代表区人民政府，向大会报告工作，请予审议，并请区政协委员和其他列席人员提出意见。</w:t>
      </w:r>
    </w:p>
    <w:p>
      <w:pPr>
        <w:spacing w:beforeLines="50" w:afterLines="50" w:line="620" w:lineRule="exact"/>
        <w:jc w:val="center"/>
        <w:rPr>
          <w:rFonts w:ascii="Calibri" w:hAnsi="Calibri" w:eastAsia="黑体"/>
          <w:kern w:val="2"/>
          <w:sz w:val="36"/>
          <w:szCs w:val="36"/>
        </w:rPr>
      </w:pPr>
      <w:r>
        <w:rPr>
          <w:rFonts w:hint="eastAsia" w:ascii="Calibri" w:hAnsi="Calibri" w:eastAsia="黑体"/>
          <w:kern w:val="2"/>
          <w:sz w:val="36"/>
          <w:szCs w:val="36"/>
        </w:rPr>
        <w:t>一、过去四年工作回顾</w:t>
      </w:r>
    </w:p>
    <w:p>
      <w:pPr>
        <w:spacing w:after="0" w:line="600" w:lineRule="exact"/>
        <w:ind w:firstLine="675"/>
        <w:jc w:val="both"/>
        <w:rPr>
          <w:rFonts w:ascii="仿宋" w:hAnsi="仿宋" w:eastAsia="仿宋"/>
          <w:sz w:val="36"/>
          <w:szCs w:val="36"/>
        </w:rPr>
      </w:pPr>
      <w:r>
        <w:rPr>
          <w:rFonts w:hint="eastAsia" w:ascii="仿宋" w:hAnsi="仿宋" w:eastAsia="仿宋"/>
          <w:sz w:val="36"/>
          <w:szCs w:val="36"/>
        </w:rPr>
        <w:t>过去四年，在区委的坚强领导和区人大、区政协的监督支持下，我们科学应对挑战，着力抢抓机遇，攻坚克难，砥砺前行，保持经济稳健发展，社会和谐稳定。</w:t>
      </w:r>
    </w:p>
    <w:p>
      <w:pPr>
        <w:spacing w:after="0" w:line="600" w:lineRule="exact"/>
        <w:ind w:firstLine="645"/>
        <w:jc w:val="both"/>
        <w:rPr>
          <w:rFonts w:ascii="仿宋" w:hAnsi="仿宋" w:eastAsia="仿宋"/>
          <w:sz w:val="36"/>
          <w:szCs w:val="36"/>
        </w:rPr>
      </w:pPr>
      <w:r>
        <w:rPr>
          <w:rFonts w:hint="eastAsia" w:ascii="仿宋_GB2312" w:eastAsia="仿宋_GB2312"/>
          <w:sz w:val="36"/>
          <w:szCs w:val="36"/>
        </w:rPr>
        <w:t>——</w:t>
      </w:r>
      <w:r>
        <w:rPr>
          <w:rFonts w:hint="eastAsia" w:ascii="黑体" w:hAnsi="黑体" w:eastAsia="黑体"/>
          <w:sz w:val="36"/>
          <w:szCs w:val="36"/>
        </w:rPr>
        <w:t>经济实力迈上新台阶。</w:t>
      </w:r>
      <w:r>
        <w:rPr>
          <w:rFonts w:hint="eastAsia" w:ascii="仿宋" w:hAnsi="仿宋" w:eastAsia="仿宋"/>
          <w:sz w:val="36"/>
          <w:szCs w:val="36"/>
        </w:rPr>
        <w:t>2016年预计完成地区生产总值124.8亿元、财政总收入4.08亿元、固定资产投资111.4亿元、社会消费品零售总额20.46亿元，分别是2012年的1.3、1.9、1.6和1.6倍，年均分别增长9.5%、25.8%、</w:t>
      </w:r>
      <w:r>
        <w:rPr>
          <w:rFonts w:hint="eastAsia" w:ascii="仿宋_GB2312" w:hAnsi="仿宋" w:eastAsia="仿宋_GB2312"/>
          <w:sz w:val="36"/>
          <w:szCs w:val="36"/>
        </w:rPr>
        <w:t>17.1%和17.3%，</w:t>
      </w:r>
      <w:r>
        <w:rPr>
          <w:rFonts w:hint="eastAsia" w:ascii="仿宋" w:hAnsi="仿宋" w:eastAsia="仿宋"/>
          <w:sz w:val="36"/>
          <w:szCs w:val="36"/>
        </w:rPr>
        <w:t>城镇居民人均可支配收入27852元，农民人均可支配收入15685元，全面完成或超额完成目标任务。</w:t>
      </w:r>
    </w:p>
    <w:p>
      <w:pPr>
        <w:widowControl w:val="0"/>
        <w:spacing w:after="0" w:line="600" w:lineRule="exact"/>
        <w:ind w:firstLine="720" w:firstLineChars="200"/>
        <w:jc w:val="both"/>
        <w:rPr>
          <w:rFonts w:ascii="仿宋" w:hAnsi="仿宋" w:eastAsia="仿宋"/>
          <w:sz w:val="36"/>
          <w:szCs w:val="36"/>
        </w:rPr>
      </w:pPr>
      <w:r>
        <w:rPr>
          <w:rFonts w:hint="eastAsia" w:ascii="仿宋_GB2312" w:eastAsia="仿宋_GB2312"/>
          <w:sz w:val="36"/>
          <w:szCs w:val="36"/>
        </w:rPr>
        <w:t>——</w:t>
      </w:r>
      <w:r>
        <w:rPr>
          <w:rFonts w:hint="eastAsia" w:ascii="黑体" w:hAnsi="黑体" w:eastAsia="黑体"/>
          <w:sz w:val="36"/>
          <w:szCs w:val="36"/>
        </w:rPr>
        <w:t>产业发展实现新突破。</w:t>
      </w:r>
      <w:r>
        <w:rPr>
          <w:rFonts w:hint="eastAsia" w:ascii="楷体_GB2312" w:eastAsia="楷体_GB2312"/>
          <w:b/>
          <w:sz w:val="36"/>
          <w:szCs w:val="36"/>
        </w:rPr>
        <w:t>现代农业稳步发展。</w:t>
      </w:r>
      <w:r>
        <w:rPr>
          <w:rFonts w:hint="eastAsia" w:ascii="仿宋" w:hAnsi="仿宋" w:eastAsia="仿宋"/>
          <w:sz w:val="36"/>
          <w:szCs w:val="36"/>
        </w:rPr>
        <w:t>农业基础设施得到加强。新增耕地8565亩，建设高标准农田4.9万亩，疏浚沟渠2277公里，改造涵闸机埠53座、渠系配套建筑物1075处，除险加固水库23座，清淤山塘92口。农业产业化加快推进。建设标准化生产基地8万亩、水产健康养殖示范场5个；发展省市级龙头企业20家、农民专业合作社239家、规模休闲农庄43家。农产品质量明显提升。发展“三品一标”农产品42个，注册农产品商标135件，创建著名商标6件。实施水稻统防统治5万亩，蔬菜、茶叶绿色防控2万亩，农产品优质率达90%以上。我区被确定为全国农产品质量安全示范县和全国平安渔业示范县。</w:t>
      </w:r>
      <w:r>
        <w:rPr>
          <w:rFonts w:hint="eastAsia" w:ascii="楷体_GB2312" w:eastAsia="楷体_GB2312"/>
          <w:b/>
          <w:sz w:val="36"/>
          <w:szCs w:val="36"/>
        </w:rPr>
        <w:t>工业发展提速提质。</w:t>
      </w:r>
      <w:r>
        <w:rPr>
          <w:rFonts w:hint="eastAsia" w:ascii="仿宋" w:hAnsi="仿宋" w:eastAsia="仿宋"/>
          <w:sz w:val="36"/>
          <w:szCs w:val="36"/>
        </w:rPr>
        <w:t>净增规模工业企业8家、高新技术企业2家、产学研发展平台3个。君山银针黄茶产业园、金联星新材料产业园、劲阳电子、童记三利和食品等项目建成投产；洞庭山茶叶、雅美时电子等项目加快建设。金联星新材料在新三板上市。建设标准化厂房20.4万平方米，入园企业41家，实现产值90亿元，君山工业园获批省级工业集中区。新增外贸企业10家，实现外贸进出口2150万美元。</w:t>
      </w:r>
      <w:r>
        <w:rPr>
          <w:rFonts w:hint="eastAsia" w:ascii="楷体_GB2312" w:eastAsia="楷体_GB2312"/>
          <w:b/>
          <w:sz w:val="36"/>
          <w:szCs w:val="36"/>
        </w:rPr>
        <w:t>第三产业加快发展。</w:t>
      </w:r>
      <w:r>
        <w:rPr>
          <w:rFonts w:hint="eastAsia" w:ascii="仿宋" w:hAnsi="仿宋" w:eastAsia="仿宋"/>
          <w:sz w:val="36"/>
          <w:szCs w:val="36"/>
        </w:rPr>
        <w:t>旅游发展持续向好。创建全国休闲农业和乡村旅游示范点2个，洞庭湖博物馆、洞庭湖欢乐世界动工建设，君山野生荷花世界、天井山森林公园、良心堡镇“万亩油菜花”等景区备受游客青睐。城乡商贸日趋繁荣。新增企业和个体工商户4031户。引进工商银行设立支行、交通银行和建设银行设点营业，参与组建岳阳农村商业银行。房地产业健康发展。从严打击黑开发，商品房品质品位进一步提升。</w:t>
      </w:r>
    </w:p>
    <w:p>
      <w:pPr>
        <w:widowControl w:val="0"/>
        <w:spacing w:after="0" w:line="600" w:lineRule="exact"/>
        <w:ind w:firstLine="720" w:firstLineChars="200"/>
        <w:jc w:val="both"/>
        <w:rPr>
          <w:rFonts w:ascii="仿宋" w:hAnsi="仿宋" w:eastAsia="仿宋"/>
          <w:sz w:val="36"/>
          <w:szCs w:val="36"/>
        </w:rPr>
      </w:pPr>
      <w:r>
        <w:rPr>
          <w:rFonts w:hint="eastAsia" w:ascii="仿宋_GB2312" w:eastAsia="仿宋_GB2312"/>
          <w:sz w:val="36"/>
          <w:szCs w:val="36"/>
        </w:rPr>
        <w:t>——</w:t>
      </w:r>
      <w:r>
        <w:rPr>
          <w:rFonts w:hint="eastAsia" w:ascii="黑体" w:hAnsi="黑体" w:eastAsia="黑体"/>
          <w:sz w:val="36"/>
          <w:szCs w:val="36"/>
        </w:rPr>
        <w:t>城乡建设呈现新面貌。</w:t>
      </w:r>
      <w:r>
        <w:rPr>
          <w:rFonts w:hint="eastAsia" w:ascii="楷体_GB2312" w:hAnsi="仿宋" w:eastAsia="楷体_GB2312"/>
          <w:b/>
          <w:sz w:val="36"/>
          <w:szCs w:val="36"/>
        </w:rPr>
        <w:t>城乡规划不断完善。</w:t>
      </w:r>
      <w:r>
        <w:rPr>
          <w:rFonts w:hint="eastAsia" w:ascii="仿宋" w:hAnsi="仿宋" w:eastAsia="仿宋"/>
          <w:sz w:val="36"/>
          <w:szCs w:val="36"/>
        </w:rPr>
        <w:t>完成城乡一体化规划、中心城区控详规划、16个居民安置点规划、7个保障性住房修建性规划和城区供水、排水、竖向等专项规划。</w:t>
      </w:r>
      <w:r>
        <w:rPr>
          <w:rFonts w:hint="eastAsia" w:ascii="楷体_GB2312" w:hAnsi="仿宋" w:eastAsia="楷体_GB2312"/>
          <w:b/>
          <w:sz w:val="36"/>
          <w:szCs w:val="36"/>
        </w:rPr>
        <w:t>基础设施逐步改善。</w:t>
      </w:r>
      <w:r>
        <w:rPr>
          <w:rFonts w:hint="eastAsia" w:ascii="仿宋" w:hAnsi="仿宋" w:eastAsia="仿宋"/>
          <w:sz w:val="36"/>
          <w:szCs w:val="36"/>
        </w:rPr>
        <w:t>岳常高速（君山段）竣工通车，“两路两桥”顺利推进；完成S306 和S202升级改造，县级以上好路率达84%。建设和提质城区主干道路41公里、小街小巷8200平方米。污水处理率达93.5%。新增工业专变38台。</w:t>
      </w:r>
      <w:r>
        <w:rPr>
          <w:rFonts w:hint="eastAsia" w:ascii="楷体_GB2312" w:hAnsi="仿宋" w:eastAsia="楷体_GB2312"/>
          <w:b/>
          <w:sz w:val="36"/>
          <w:szCs w:val="36"/>
        </w:rPr>
        <w:t>城市管理日益强化。</w:t>
      </w:r>
      <w:r>
        <w:rPr>
          <w:rFonts w:hint="eastAsia" w:ascii="仿宋" w:hAnsi="仿宋" w:eastAsia="仿宋"/>
          <w:sz w:val="36"/>
          <w:szCs w:val="36"/>
        </w:rPr>
        <w:t>禁拆治违扎实有效，拆除违法建设9.8万平方米，我区获全市禁拆治违工作先进单位，水产养殖场连续四年获全市禁违工作优秀单位；五创提质和城乡环境综合整治深入开展，顺利通过全国文明城市创建和“绿化创模”国家复查验收；新建和改造标准化农贸市场7个，禁炮限炮、殡葬改革等工作取得实效，建成殡仪馆并提供免费服务；实施治污项目20多个，依法关停污染企业12家，企业排污达标率达90%。</w:t>
      </w:r>
      <w:r>
        <w:rPr>
          <w:rFonts w:hint="eastAsia" w:ascii="楷体_GB2312" w:hAnsi="仿宋" w:eastAsia="楷体_GB2312"/>
          <w:b/>
          <w:sz w:val="36"/>
          <w:szCs w:val="36"/>
        </w:rPr>
        <w:t>农村面貌持续改观。</w:t>
      </w:r>
      <w:r>
        <w:rPr>
          <w:rFonts w:hint="eastAsia" w:ascii="仿宋" w:hAnsi="仿宋" w:eastAsia="仿宋"/>
          <w:sz w:val="36"/>
          <w:szCs w:val="36"/>
        </w:rPr>
        <w:t>乡镇区划调整顺利完成，合镇2个，合村35个；建设垦区道路32条，新建和硬化农村公路743公里，改造危桥12座；完成行政村农网改造105个；新农村建设创建省级授牌村2个、市级授牌村6个，创建全省环洞庭湖特色生态镇1个、省级生态示范村10个、全市美丽乡镇2个、美丽村庄4个；农村环境综合整治整区推进项目通过验收。广兴洲镇被评为全国文明乡镇，钱粮湖镇被评为全国小城镇建设重点镇，许市镇被评为全省特色旅游名镇，柳林洲街道被评为全省百城千镇万村城乡统筹试点镇。</w:t>
      </w:r>
    </w:p>
    <w:p>
      <w:pPr>
        <w:spacing w:after="0" w:line="600" w:lineRule="exact"/>
        <w:ind w:firstLine="645"/>
        <w:jc w:val="both"/>
        <w:rPr>
          <w:rFonts w:ascii="仿宋" w:hAnsi="仿宋" w:eastAsia="仿宋"/>
          <w:sz w:val="36"/>
          <w:szCs w:val="36"/>
        </w:rPr>
      </w:pPr>
      <w:r>
        <w:rPr>
          <w:rFonts w:hint="eastAsia" w:ascii="仿宋_GB2312" w:eastAsia="仿宋_GB2312"/>
          <w:sz w:val="36"/>
          <w:szCs w:val="36"/>
        </w:rPr>
        <w:t>——</w:t>
      </w:r>
      <w:r>
        <w:rPr>
          <w:rFonts w:hint="eastAsia" w:ascii="黑体" w:hAnsi="黑体" w:eastAsia="黑体"/>
          <w:sz w:val="36"/>
          <w:szCs w:val="36"/>
        </w:rPr>
        <w:t>社会建设取得新进步。</w:t>
      </w:r>
      <w:r>
        <w:rPr>
          <w:rFonts w:hint="eastAsia" w:ascii="楷体_GB2312" w:hAnsi="仿宋" w:eastAsia="楷体_GB2312"/>
          <w:b/>
          <w:sz w:val="36"/>
          <w:szCs w:val="36"/>
        </w:rPr>
        <w:t>社会事业协调发展。</w:t>
      </w:r>
      <w:r>
        <w:rPr>
          <w:rFonts w:hint="eastAsia" w:ascii="仿宋" w:hAnsi="仿宋" w:eastAsia="仿宋"/>
          <w:sz w:val="36"/>
          <w:szCs w:val="36"/>
        </w:rPr>
        <w:t>教育事业取得显著成效，义务教育质量稳居全市前列，君山课改被评为全国“十大区域课改样本”，全省县级教育工作“两项督导”评估考核获评优秀，通过教育强县评估验收。医疗卫生事业发展迅速，公立医疗机构服务能力建设迈上新台阶，血防“君山模式”在全省推广；计生工作连续四年被评为全省模范单位、连续三年被评为全国优质服务先进单位。完成区文化馆、图书馆改扩建和镇（街道）文化站、村农家书屋建设，农民健身工程覆盖率达到85%以上，公共文化基础设施网络基本实现全覆盖。区综合档案馆完成主体工程建设。有线电视数字化改造全面完成。我区被评为全省农村社区建设示范区、采桑湖敬老院被评为全国农村五保供养先进单位。</w:t>
      </w:r>
      <w:r>
        <w:rPr>
          <w:rFonts w:hint="eastAsia" w:ascii="楷体_GB2312" w:hAnsi="仿宋" w:eastAsia="楷体_GB2312"/>
          <w:b/>
          <w:sz w:val="36"/>
          <w:szCs w:val="36"/>
        </w:rPr>
        <w:t>社会治理切实加强。</w:t>
      </w:r>
      <w:r>
        <w:rPr>
          <w:rFonts w:hint="eastAsia" w:ascii="仿宋" w:hAnsi="仿宋" w:eastAsia="仿宋"/>
          <w:sz w:val="36"/>
          <w:szCs w:val="36"/>
        </w:rPr>
        <w:t>深入推进法治君山建设，我区被评为全国“六五”普法中期先进县和全省“六五”普法依法治理先进县，维新村被评为全国民主法治示范村。扎实推进平安君山建设，突发事件应急管理体系逐步完善，食品药品安全监管工作得到加强；认真落实信访责任制和信访接待日制度，2013年获评全省信访工作“三无县”；加强安全生产监管，安全生产形势保持平稳；严厉打击违法犯罪行为，连续四年被评为全省平安县和综合治理先进县，综治民调稳居全省第一方阵。</w:t>
      </w:r>
    </w:p>
    <w:p>
      <w:pPr>
        <w:spacing w:after="0" w:line="600" w:lineRule="exact"/>
        <w:ind w:firstLine="720" w:firstLineChars="200"/>
        <w:jc w:val="both"/>
        <w:rPr>
          <w:rFonts w:ascii="仿宋" w:hAnsi="仿宋" w:eastAsia="仿宋"/>
          <w:sz w:val="36"/>
          <w:szCs w:val="36"/>
        </w:rPr>
      </w:pPr>
      <w:r>
        <w:rPr>
          <w:rFonts w:hint="eastAsia" w:ascii="仿宋_GB2312" w:eastAsia="仿宋_GB2312"/>
          <w:sz w:val="36"/>
          <w:szCs w:val="36"/>
        </w:rPr>
        <w:t>——</w:t>
      </w:r>
      <w:r>
        <w:rPr>
          <w:rFonts w:hint="eastAsia" w:ascii="黑体" w:hAnsi="黑体" w:eastAsia="黑体"/>
          <w:sz w:val="36"/>
          <w:szCs w:val="36"/>
        </w:rPr>
        <w:t>民生改善展现新作为。</w:t>
      </w:r>
      <w:r>
        <w:rPr>
          <w:rFonts w:hint="eastAsia" w:ascii="仿宋" w:hAnsi="仿宋" w:eastAsia="仿宋"/>
          <w:sz w:val="36"/>
          <w:szCs w:val="36"/>
        </w:rPr>
        <w:t>民生累计支出58.8亿元，2016年民生支出占财政总支出比重达87%。办理省市区实事260件，连续四年被评为省市先进。劳动就业稳步提高，建成创业孵化基地3个，新增城镇就业1.3万人，劳务输出3.76万人；发放小额担保贷款2027万元，新增创业实体450家，创业带动就业8100人。社会保险全面覆盖，五大保险参保22.7万人，发放各项待遇25.4亿元。救灾救济4300人次，医疗救助8788人次，发放低保金1.1亿元、优抚金3500万元。新农合参合率达98.86%，统筹区域内住院补偿率达79.3%。住房保障不断加强，改造农村危房2598户、垦区危旧房2.3万户，实施棚户区改造7542户，建设各类保障性住房1.1万套、农村居民规范建房示范点3个。发放住房公积金贷款1.94亿元。实施农村安全饮水项目10个，解决16万人饮水不安全问题。实施农户科学储粮9000个，粮食“危仓老库”改造3万吨，托市收购农民余粮3.9万吨。各项惠农补贴政策全面落实，发放移民直补资金7358万元，项目扶助4800万元。强力推进精准扶贫，完成脱贫2301户6472人。</w:t>
      </w:r>
    </w:p>
    <w:p>
      <w:pPr>
        <w:spacing w:after="0" w:line="600" w:lineRule="exact"/>
        <w:ind w:firstLine="720" w:firstLineChars="200"/>
        <w:jc w:val="both"/>
        <w:rPr>
          <w:rFonts w:ascii="仿宋" w:hAnsi="仿宋" w:eastAsia="仿宋"/>
          <w:sz w:val="36"/>
          <w:szCs w:val="36"/>
        </w:rPr>
      </w:pPr>
      <w:r>
        <w:rPr>
          <w:rFonts w:hint="eastAsia" w:ascii="仿宋_GB2312" w:eastAsia="仿宋_GB2312"/>
          <w:sz w:val="36"/>
          <w:szCs w:val="36"/>
        </w:rPr>
        <w:t>——</w:t>
      </w:r>
      <w:r>
        <w:rPr>
          <w:rFonts w:hint="eastAsia" w:ascii="黑体" w:hAnsi="黑体" w:eastAsia="黑体"/>
          <w:sz w:val="36"/>
          <w:szCs w:val="36"/>
        </w:rPr>
        <w:t>自身建设得到新加强。</w:t>
      </w:r>
      <w:r>
        <w:rPr>
          <w:rFonts w:hint="eastAsia" w:ascii="仿宋" w:hAnsi="仿宋" w:eastAsia="仿宋"/>
          <w:sz w:val="36"/>
          <w:szCs w:val="36"/>
        </w:rPr>
        <w:t>主动接受区人大、区政协和社会各界的监督，办理人大代表建议、政协委员提案465件。精简行政审批事项50项；全面推进建设项目联合审批，办结行政许可和公共服务项目16.7万件，办结率100%；“12345”公众服务热线处理工单2.14万件，办结率100%；政务公开更加规范，便民服务中心实现全覆盖、建成便民服务点114个。政府机构、公立医院、公务用车等各项改革强力推进。审计工作力度加大，财务管理、政府采购和建设工程招投标进一步规范。认真践行党的群众路线教育实践活动、“三严三实”专题教育和“两学一做”学习教育，政风行风进一步好转，廉洁建设不断加强。</w:t>
      </w:r>
    </w:p>
    <w:p>
      <w:pPr>
        <w:spacing w:after="0" w:line="600" w:lineRule="exact"/>
        <w:ind w:firstLine="675"/>
        <w:jc w:val="both"/>
        <w:rPr>
          <w:rFonts w:ascii="仿宋_GB2312" w:eastAsia="仿宋_GB2312"/>
          <w:sz w:val="36"/>
          <w:szCs w:val="36"/>
        </w:rPr>
      </w:pPr>
      <w:r>
        <w:rPr>
          <w:rFonts w:hint="eastAsia" w:ascii="仿宋" w:hAnsi="仿宋" w:eastAsia="仿宋"/>
          <w:sz w:val="36"/>
          <w:szCs w:val="36"/>
        </w:rPr>
        <w:t>其他各项事业协调发展，国防动员和后备力量建设取得新成绩，交警、消防、人防、统计、物价、保密、老干、邮政、通信、民族宗教、外事侨务等工作实现新进步，工会、共青团、妇联、科协、残联、文联及各民主党派、工商联、无党派人士在经济社会发展中作出新贡献。</w:t>
      </w:r>
    </w:p>
    <w:p>
      <w:pPr>
        <w:spacing w:after="0" w:line="600" w:lineRule="exact"/>
        <w:ind w:firstLine="675"/>
        <w:jc w:val="both"/>
        <w:rPr>
          <w:rFonts w:ascii="仿宋" w:hAnsi="仿宋" w:eastAsia="仿宋"/>
          <w:sz w:val="36"/>
          <w:szCs w:val="36"/>
        </w:rPr>
      </w:pPr>
      <w:r>
        <w:rPr>
          <w:rFonts w:hint="eastAsia" w:ascii="仿宋" w:hAnsi="仿宋" w:eastAsia="仿宋"/>
          <w:sz w:val="36"/>
          <w:szCs w:val="36"/>
        </w:rPr>
        <w:t>各位代表，四年的发展成绩有目共睹，四年的工作经验弥足珍贵。回顾四年发展历程，我们深刻体会到，适应新常态，实现新突破：</w:t>
      </w:r>
      <w:r>
        <w:rPr>
          <w:rFonts w:hint="eastAsia" w:ascii="楷体_GB2312" w:eastAsia="楷体_GB2312"/>
          <w:b/>
          <w:sz w:val="36"/>
          <w:szCs w:val="36"/>
        </w:rPr>
        <w:t>必须坚持生态立区。</w:t>
      </w:r>
      <w:r>
        <w:rPr>
          <w:rFonts w:hint="eastAsia" w:ascii="仿宋" w:hAnsi="仿宋" w:eastAsia="仿宋"/>
          <w:sz w:val="36"/>
          <w:szCs w:val="36"/>
        </w:rPr>
        <w:t>把生态作为发展之基，坚守生态红线，既要“金山银山”，更要“绿水青山”。</w:t>
      </w:r>
      <w:r>
        <w:rPr>
          <w:rFonts w:hint="eastAsia" w:ascii="楷体_GB2312" w:eastAsia="楷体_GB2312"/>
          <w:b/>
          <w:sz w:val="36"/>
          <w:szCs w:val="36"/>
        </w:rPr>
        <w:t>必须坚持项目兴区。</w:t>
      </w:r>
      <w:r>
        <w:rPr>
          <w:rFonts w:hint="eastAsia" w:ascii="仿宋" w:hAnsi="仿宋" w:eastAsia="仿宋"/>
          <w:sz w:val="36"/>
          <w:szCs w:val="36"/>
        </w:rPr>
        <w:t>始终把项目建设作为推动经济发展第一抓手，强化“抓项目就是抓发展、大项目大发展”的理念，以项目建设扩投资、稳增长、增后劲。</w:t>
      </w:r>
      <w:r>
        <w:rPr>
          <w:rFonts w:hint="eastAsia" w:ascii="楷体_GB2312" w:eastAsia="楷体_GB2312"/>
          <w:b/>
          <w:sz w:val="36"/>
          <w:szCs w:val="36"/>
        </w:rPr>
        <w:t>必须坚持务实担当。</w:t>
      </w:r>
      <w:r>
        <w:rPr>
          <w:rFonts w:hint="eastAsia" w:ascii="仿宋" w:hAnsi="仿宋" w:eastAsia="仿宋"/>
          <w:sz w:val="36"/>
          <w:szCs w:val="36"/>
        </w:rPr>
        <w:t>大兴务实之风，强化担当意识，敢于直面发展中的矛盾和挑战，不因循，不回避，在解决困难和问题中稳步向前。</w:t>
      </w:r>
      <w:r>
        <w:rPr>
          <w:rFonts w:hint="eastAsia" w:ascii="楷体_GB2312" w:eastAsia="楷体_GB2312"/>
          <w:b/>
          <w:sz w:val="36"/>
          <w:szCs w:val="36"/>
        </w:rPr>
        <w:t>必须坚持依法行政。</w:t>
      </w:r>
      <w:r>
        <w:rPr>
          <w:rFonts w:hint="eastAsia" w:ascii="仿宋" w:hAnsi="仿宋" w:eastAsia="仿宋"/>
          <w:sz w:val="36"/>
          <w:szCs w:val="36"/>
        </w:rPr>
        <w:t>坚持将法治思维、法治方式贯穿政府工作全过程，依法履行政府职责，全面规范行政行为，切实增强政府公信力。</w:t>
      </w:r>
      <w:r>
        <w:rPr>
          <w:rFonts w:hint="eastAsia" w:ascii="楷体_GB2312" w:eastAsia="楷体_GB2312"/>
          <w:b/>
          <w:sz w:val="36"/>
          <w:szCs w:val="36"/>
        </w:rPr>
        <w:t>必须坚持以民为本。</w:t>
      </w:r>
      <w:r>
        <w:rPr>
          <w:rFonts w:hint="eastAsia" w:ascii="仿宋" w:hAnsi="仿宋" w:eastAsia="仿宋"/>
          <w:sz w:val="36"/>
          <w:szCs w:val="36"/>
        </w:rPr>
        <w:t>坚持依靠人民、服务人民，把保障改善民生作为政府工作的出发点和落脚点，持之以恒为民解难事、做好事、办实事。</w:t>
      </w:r>
    </w:p>
    <w:p>
      <w:pPr>
        <w:spacing w:after="0" w:line="600" w:lineRule="exact"/>
        <w:ind w:firstLine="675"/>
        <w:jc w:val="both"/>
        <w:rPr>
          <w:rFonts w:ascii="仿宋" w:hAnsi="仿宋" w:eastAsia="仿宋"/>
          <w:sz w:val="36"/>
          <w:szCs w:val="36"/>
        </w:rPr>
      </w:pPr>
      <w:r>
        <w:rPr>
          <w:rFonts w:hint="eastAsia" w:ascii="仿宋" w:hAnsi="仿宋" w:eastAsia="仿宋"/>
          <w:sz w:val="36"/>
          <w:szCs w:val="36"/>
        </w:rPr>
        <w:t>各位代表，君山经济社会发展取得的所有成就，是市委、市政府和区委正确领导的结果，是区人大、区政协监督、支持的结果，是全区上下共同努力、顽强拼搏的结果。在此，我代表区人民政府，向全区人民，向所有关心、支持和参与君山建设、发展的社会各界人士，表示衷心的感谢并致以崇高的敬意！</w:t>
      </w:r>
    </w:p>
    <w:p>
      <w:pPr>
        <w:spacing w:after="0" w:line="600" w:lineRule="exact"/>
        <w:ind w:firstLine="675"/>
        <w:jc w:val="both"/>
        <w:rPr>
          <w:rFonts w:ascii="仿宋" w:hAnsi="仿宋" w:eastAsia="仿宋"/>
          <w:sz w:val="36"/>
          <w:szCs w:val="36"/>
        </w:rPr>
      </w:pPr>
      <w:r>
        <w:rPr>
          <w:rFonts w:hint="eastAsia" w:ascii="仿宋" w:hAnsi="仿宋" w:eastAsia="仿宋"/>
          <w:sz w:val="36"/>
          <w:szCs w:val="36"/>
        </w:rPr>
        <w:t>在肯定成绩的同时，我们清醒认识到，当前君山发展还面临诸多困难和问题。主要是：产业基础不强，支撑发展的战略性项目和新增长点不多；经济结构不优，发展质量和效益有待进一步提升；城市功能不完善，基础设施薄弱，人气不旺；民生改善任务繁重，社会保障能力离人民群众的期望还有差距；少数部门和公务人员工作效能不高，社会治理创新和政府公共服务还要加强。对此，我们将坚持问题导向，采取有力措施，努力加以解决。</w:t>
      </w:r>
    </w:p>
    <w:p>
      <w:pPr>
        <w:spacing w:beforeLines="50" w:afterLines="50" w:line="620" w:lineRule="exact"/>
        <w:jc w:val="center"/>
        <w:rPr>
          <w:rFonts w:ascii="方正小标宋简体" w:eastAsia="方正小标宋简体"/>
          <w:sz w:val="36"/>
          <w:szCs w:val="36"/>
        </w:rPr>
      </w:pPr>
      <w:r>
        <w:rPr>
          <w:rFonts w:hint="eastAsia" w:ascii="方正小标宋简体" w:eastAsia="方正小标宋简体"/>
          <w:sz w:val="36"/>
          <w:szCs w:val="36"/>
        </w:rPr>
        <w:t>二、未来五年奋斗目标和主要任务</w:t>
      </w:r>
    </w:p>
    <w:p>
      <w:pPr>
        <w:spacing w:after="0" w:line="600" w:lineRule="exact"/>
        <w:ind w:firstLine="720" w:firstLineChars="200"/>
        <w:jc w:val="both"/>
        <w:rPr>
          <w:rFonts w:ascii="仿宋" w:hAnsi="仿宋" w:eastAsia="仿宋"/>
          <w:sz w:val="36"/>
          <w:szCs w:val="36"/>
        </w:rPr>
      </w:pPr>
      <w:r>
        <w:rPr>
          <w:rFonts w:hint="eastAsia" w:ascii="仿宋" w:hAnsi="仿宋" w:eastAsia="仿宋"/>
          <w:sz w:val="36"/>
          <w:szCs w:val="36"/>
        </w:rPr>
        <w:t>未来五年，世界经济环境仍然复杂多变，机遇和挑战相互交织，但我国经济调整优化的前进态势不会改变，发展仍处于重要战略机遇期。国家持续实施长江经济带、洞庭湖生态经济区等重大战略，省市不断出台利好政策，君山面临的发展机遇累积叠加，积极引领发展新常态，实现君山新一轮发展必将大有作为。站在新起点，面对新形势，我们一定紧紧依靠全区人民，抢抓机遇，真抓实干，奋力开创君山又好又快发展的新境界！</w:t>
      </w:r>
    </w:p>
    <w:p>
      <w:pPr>
        <w:spacing w:after="0" w:line="600" w:lineRule="exact"/>
        <w:ind w:firstLine="720" w:firstLineChars="200"/>
        <w:jc w:val="both"/>
        <w:rPr>
          <w:rFonts w:ascii="黑体" w:hAnsi="黑体" w:eastAsia="黑体"/>
          <w:sz w:val="36"/>
          <w:szCs w:val="36"/>
        </w:rPr>
      </w:pPr>
      <w:r>
        <w:rPr>
          <w:rFonts w:hint="eastAsia" w:ascii="仿宋" w:hAnsi="仿宋" w:eastAsia="仿宋"/>
          <w:sz w:val="36"/>
          <w:szCs w:val="36"/>
        </w:rPr>
        <w:t>根据区第五次党代会精神和“十三五”发展规划，未来五年政府工作的总体要求是：</w:t>
      </w:r>
      <w:r>
        <w:rPr>
          <w:rFonts w:hint="eastAsia" w:ascii="黑体" w:hAnsi="黑体" w:eastAsia="黑体"/>
          <w:sz w:val="36"/>
          <w:szCs w:val="36"/>
        </w:rPr>
        <w:t>深入贯彻落实党的十八大和十八届三中、四中、五中、六中全会精神，坚持“四个全面”战略布局和“五大发展”理念，按照省委“创新引领、开放崛起”、市委建设“一极三宜”江湖名城、区委“打造洞庭生态明珠、建设现代滨江新区”的总体部署要求，把“生态+”发展战略贯穿于经济社会发展各方面和全过程，实现更优发展模式、更好发展质量、更高发展效益、更实民生福祉，加快建设美丽幸福君山！</w:t>
      </w:r>
    </w:p>
    <w:p>
      <w:pPr>
        <w:spacing w:after="0" w:line="600" w:lineRule="exact"/>
        <w:ind w:firstLine="720" w:firstLineChars="200"/>
        <w:jc w:val="both"/>
        <w:rPr>
          <w:rFonts w:ascii="仿宋" w:hAnsi="仿宋" w:eastAsia="仿宋"/>
          <w:sz w:val="36"/>
          <w:szCs w:val="36"/>
        </w:rPr>
      </w:pPr>
      <w:r>
        <w:rPr>
          <w:rFonts w:hint="eastAsia" w:ascii="仿宋" w:hAnsi="仿宋" w:eastAsia="仿宋"/>
          <w:sz w:val="36"/>
          <w:szCs w:val="36"/>
        </w:rPr>
        <w:t>主要目标是：</w:t>
      </w:r>
    </w:p>
    <w:p>
      <w:pPr>
        <w:spacing w:after="0" w:line="600" w:lineRule="exact"/>
        <w:ind w:firstLine="720" w:firstLineChars="200"/>
        <w:jc w:val="both"/>
        <w:rPr>
          <w:rFonts w:ascii="仿宋" w:hAnsi="仿宋" w:eastAsia="仿宋"/>
          <w:sz w:val="36"/>
          <w:szCs w:val="36"/>
        </w:rPr>
      </w:pPr>
      <w:r>
        <w:rPr>
          <w:rFonts w:hint="eastAsia" w:ascii="黑体" w:hAnsi="黑体" w:eastAsia="黑体"/>
          <w:sz w:val="36"/>
          <w:szCs w:val="36"/>
        </w:rPr>
        <w:t>——力争“一个高于”：</w:t>
      </w:r>
      <w:r>
        <w:rPr>
          <w:rFonts w:hint="eastAsia"/>
          <w:sz w:val="36"/>
          <w:szCs w:val="36"/>
        </w:rPr>
        <w:t xml:space="preserve"> </w:t>
      </w:r>
      <w:r>
        <w:rPr>
          <w:rFonts w:hint="eastAsia" w:ascii="仿宋" w:hAnsi="仿宋" w:eastAsia="仿宋"/>
          <w:sz w:val="36"/>
          <w:szCs w:val="36"/>
        </w:rPr>
        <w:t>主要经济指标增速高于全市平均水平。地区生产总值年均增长9.5%；财政总收入年均增长10-15%；固定资产投资年均增长10%；社会消费品零售总额年均增长16%；城乡居民人均可支配收入年均分别增长10%。</w:t>
      </w:r>
    </w:p>
    <w:p>
      <w:pPr>
        <w:spacing w:after="0" w:line="600" w:lineRule="exact"/>
        <w:ind w:firstLine="720" w:firstLineChars="200"/>
        <w:jc w:val="both"/>
        <w:rPr>
          <w:rFonts w:ascii="仿宋" w:hAnsi="仿宋" w:eastAsia="仿宋"/>
          <w:sz w:val="36"/>
          <w:szCs w:val="36"/>
        </w:rPr>
      </w:pPr>
      <w:r>
        <w:rPr>
          <w:rFonts w:hint="eastAsia" w:ascii="黑体" w:hAnsi="黑体" w:eastAsia="黑体"/>
          <w:sz w:val="36"/>
          <w:szCs w:val="36"/>
        </w:rPr>
        <w:t>——确保“两个全面”：</w:t>
      </w:r>
      <w:r>
        <w:rPr>
          <w:rFonts w:hint="eastAsia" w:ascii="仿宋" w:hAnsi="仿宋" w:eastAsia="仿宋"/>
          <w:sz w:val="36"/>
          <w:szCs w:val="36"/>
        </w:rPr>
        <w:t>确保全面实现贫困人口整体脱贫、确保全面建成小康社会，让人民群众有更多的获得感、更强的幸福感。</w:t>
      </w:r>
    </w:p>
    <w:p>
      <w:pPr>
        <w:spacing w:after="0" w:line="600" w:lineRule="exact"/>
        <w:ind w:firstLine="720" w:firstLineChars="200"/>
        <w:jc w:val="both"/>
        <w:rPr>
          <w:rFonts w:ascii="仿宋" w:hAnsi="仿宋" w:eastAsia="仿宋"/>
          <w:sz w:val="36"/>
          <w:szCs w:val="36"/>
        </w:rPr>
      </w:pPr>
      <w:r>
        <w:rPr>
          <w:rFonts w:hint="eastAsia" w:ascii="黑体" w:hAnsi="黑体" w:eastAsia="黑体"/>
          <w:sz w:val="36"/>
          <w:szCs w:val="36"/>
        </w:rPr>
        <w:t>——致力“三个打造”：</w:t>
      </w:r>
      <w:r>
        <w:rPr>
          <w:rFonts w:hint="eastAsia" w:ascii="仿宋" w:hAnsi="仿宋" w:eastAsia="仿宋"/>
          <w:sz w:val="36"/>
          <w:szCs w:val="36"/>
        </w:rPr>
        <w:t>致力打造功能完善、人气兴旺的核心城区；致力打造村庄秀美、乡风文明的美丽乡村；致力打造结构合理、特色明显的现代产业。</w:t>
      </w:r>
    </w:p>
    <w:p>
      <w:pPr>
        <w:spacing w:after="0" w:line="600" w:lineRule="exact"/>
        <w:ind w:firstLine="720" w:firstLineChars="200"/>
        <w:jc w:val="both"/>
        <w:rPr>
          <w:rFonts w:ascii="仿宋" w:hAnsi="仿宋" w:eastAsia="仿宋"/>
          <w:sz w:val="36"/>
          <w:szCs w:val="36"/>
        </w:rPr>
      </w:pPr>
      <w:r>
        <w:rPr>
          <w:rFonts w:hint="eastAsia" w:ascii="仿宋" w:hAnsi="仿宋" w:eastAsia="仿宋"/>
          <w:sz w:val="36"/>
          <w:szCs w:val="36"/>
        </w:rPr>
        <w:t>今后五年，政府工作的主要任务是：</w:t>
      </w:r>
    </w:p>
    <w:p>
      <w:pPr>
        <w:spacing w:after="0" w:line="600" w:lineRule="exact"/>
        <w:ind w:firstLine="720" w:firstLineChars="200"/>
        <w:jc w:val="both"/>
        <w:rPr>
          <w:rFonts w:ascii="仿宋" w:hAnsi="仿宋" w:eastAsia="仿宋"/>
          <w:sz w:val="36"/>
          <w:szCs w:val="36"/>
        </w:rPr>
      </w:pPr>
      <w:r>
        <w:rPr>
          <w:rFonts w:hint="eastAsia" w:ascii="黑体" w:hAnsi="黑体" w:eastAsia="黑体"/>
          <w:sz w:val="36"/>
          <w:szCs w:val="36"/>
        </w:rPr>
        <w:t>（一）着力完善基础设施。</w:t>
      </w:r>
      <w:r>
        <w:rPr>
          <w:rFonts w:hint="eastAsia" w:ascii="楷体_GB2312" w:hAnsi="黑体" w:eastAsia="楷体_GB2312"/>
          <w:b/>
          <w:sz w:val="36"/>
          <w:szCs w:val="36"/>
        </w:rPr>
        <w:t>加强水利设施建设。</w:t>
      </w:r>
      <w:r>
        <w:rPr>
          <w:rFonts w:hint="eastAsia" w:ascii="仿宋" w:hAnsi="仿宋" w:eastAsia="仿宋"/>
          <w:sz w:val="36"/>
          <w:szCs w:val="36"/>
        </w:rPr>
        <w:t>大力实施钱粮湖安全区建设、长江干流河势控制、四口河系综合整治、友谊电排扩容和平原水库除险加固等工程建设，进一步增强水利防洪减灾能力。切实抓好华容河、华洪运河水系连通、君山垸濠河河湖连通和内湖整治等工程建设，构建区域“清水活水”网络，保持水系良性循环。持续推进沟渠疏浚、农村土地整治和小农水改造等项目建设，着力解决农田灌溉“最后一公里”的问题。</w:t>
      </w:r>
      <w:r>
        <w:rPr>
          <w:rFonts w:hint="eastAsia" w:ascii="楷体_GB2312" w:hAnsi="黑体" w:eastAsia="楷体_GB2312"/>
          <w:b/>
          <w:sz w:val="36"/>
          <w:szCs w:val="36"/>
        </w:rPr>
        <w:t>加强交通运输建设。</w:t>
      </w:r>
      <w:r>
        <w:rPr>
          <w:rFonts w:hint="eastAsia" w:ascii="仿宋" w:hAnsi="仿宋" w:eastAsia="仿宋"/>
          <w:sz w:val="36"/>
          <w:szCs w:val="36"/>
        </w:rPr>
        <w:t>加快构建以高速、国省干线为骨架，以县乡道路为纽带，内外连通、顺畅便捷的区域交通体系。实施重点国、省、县干线公路提质改造，用三年左右的时间打造区镇连通“半小时交通圈”。建设荆江门码头二期、二洲子综合码头和荆江门综合物流园、钱粮湖客运站等码头站场，协调服务建设“两路两桥”，加强水运与铁路、高速的互通对接，初步形成通江达海、货畅天下的大交通格局。</w:t>
      </w:r>
      <w:r>
        <w:rPr>
          <w:rFonts w:hint="eastAsia" w:ascii="楷体_GB2312" w:hAnsi="黑体" w:eastAsia="楷体_GB2312"/>
          <w:b/>
          <w:sz w:val="36"/>
          <w:szCs w:val="36"/>
        </w:rPr>
        <w:t>加强电力设施建设。</w:t>
      </w:r>
      <w:r>
        <w:rPr>
          <w:rFonts w:hint="eastAsia" w:ascii="仿宋" w:hAnsi="仿宋" w:eastAsia="仿宋"/>
          <w:sz w:val="36"/>
          <w:szCs w:val="36"/>
        </w:rPr>
        <w:t>加快城乡供电系统建设和电网升级改造，推进主电网和智能电网建设，完善工业园区、洞庭湖博览园等重点区域供电设施。到“十三五”末，全区供电可靠率达到99.9%，综合电压合格率达到99.6%。</w:t>
      </w:r>
      <w:r>
        <w:rPr>
          <w:rFonts w:hint="eastAsia" w:ascii="楷体_GB2312" w:hAnsi="黑体" w:eastAsia="楷体_GB2312"/>
          <w:b/>
          <w:sz w:val="36"/>
          <w:szCs w:val="36"/>
        </w:rPr>
        <w:t>加强信息网络建设。</w:t>
      </w:r>
      <w:r>
        <w:rPr>
          <w:rFonts w:hint="eastAsia" w:ascii="仿宋" w:hAnsi="仿宋" w:eastAsia="仿宋"/>
          <w:sz w:val="36"/>
          <w:szCs w:val="36"/>
        </w:rPr>
        <w:t>做好信息网络发展规划，大力推进移动通信电视网络、下一代互联网和光纤宽带网络建设，积极推进“三网融合”。加快建设互联网数据中心、电子政务服务中心等功能性服务平台。加强网络与信息公共安全防护体系建设。</w:t>
      </w:r>
    </w:p>
    <w:p>
      <w:pPr>
        <w:spacing w:after="0" w:line="600" w:lineRule="exact"/>
        <w:ind w:firstLine="720" w:firstLineChars="200"/>
        <w:jc w:val="both"/>
        <w:rPr>
          <w:rFonts w:ascii="仿宋" w:hAnsi="仿宋" w:eastAsia="仿宋"/>
          <w:sz w:val="36"/>
          <w:szCs w:val="36"/>
        </w:rPr>
      </w:pPr>
      <w:r>
        <w:rPr>
          <w:rFonts w:hint="eastAsia" w:ascii="黑体" w:hAnsi="黑体" w:eastAsia="黑体"/>
          <w:sz w:val="36"/>
          <w:szCs w:val="36"/>
        </w:rPr>
        <w:t>（二）培育壮大主导产业。</w:t>
      </w:r>
      <w:r>
        <w:rPr>
          <w:rFonts w:hint="eastAsia" w:ascii="楷体_GB2312" w:hAnsi="黑体" w:eastAsia="楷体_GB2312"/>
          <w:b/>
          <w:sz w:val="36"/>
          <w:szCs w:val="36"/>
        </w:rPr>
        <w:t>做强现代农业。</w:t>
      </w:r>
      <w:r>
        <w:rPr>
          <w:rFonts w:hint="eastAsia" w:ascii="仿宋" w:hAnsi="仿宋" w:eastAsia="仿宋"/>
          <w:sz w:val="36"/>
          <w:szCs w:val="36"/>
        </w:rPr>
        <w:t>优化农业产业结构。推广应用农业新品种、新技术，做大做强优质稻米、放心蔬菜、品牌茶叶、双低油菜、水果、湘莲和名特水产。提高农产品质量。巩固全国农产品质量安全示范县创建成果，完善农产品质量安全细化检测指标监管体系，大力发展“三品一标”农产品，着力创建农产品冷链流通试点示范县；努力打造在国内外享有较高知名度的君山农产品品牌形象，到2021年，培育驰名商标2件以上，著名商标10件以上，地理标志证明商标2件以上。提升农业产业化水平。鼓励泰和现代国家农业公园、洪市蔬菜产业园等农业产业园区提质发展，大力引进农产品精深加工和冷链物流项目，培育一批龙头企业，大幅度提高农产品的加工转化率和附加值；培育发展种养大户、家庭农场联盟、专业合作社等新型经营主体；发展规模农业、订单农业和特色农业产业基地。创新农业经营模式。促进产业融合发展，大力发展生态休闲、观光旅游农业，支持发展“互联网+农业”和直销配送、农超对接等新型营销模式。</w:t>
      </w:r>
      <w:r>
        <w:rPr>
          <w:rFonts w:hint="eastAsia" w:ascii="楷体_GB2312" w:hAnsi="黑体" w:eastAsia="楷体_GB2312"/>
          <w:b/>
          <w:sz w:val="36"/>
          <w:szCs w:val="36"/>
        </w:rPr>
        <w:t>发展新型工业。</w:t>
      </w:r>
      <w:r>
        <w:rPr>
          <w:rFonts w:hint="eastAsia" w:ascii="仿宋" w:hAnsi="仿宋" w:eastAsia="仿宋"/>
          <w:sz w:val="36"/>
          <w:szCs w:val="36"/>
        </w:rPr>
        <w:t>打造新型工业发展平台。大力建设洞庭湖绿色食品产业园，科学规划、加快完善配套基础设施，建设</w:t>
      </w:r>
      <w:r>
        <w:rPr>
          <w:rFonts w:ascii="仿宋" w:hAnsi="仿宋" w:eastAsia="仿宋"/>
          <w:sz w:val="36"/>
          <w:szCs w:val="36"/>
        </w:rPr>
        <w:t>公共服务平台</w:t>
      </w:r>
      <w:r>
        <w:rPr>
          <w:rFonts w:hint="eastAsia" w:ascii="仿宋" w:hAnsi="仿宋" w:eastAsia="仿宋"/>
          <w:sz w:val="36"/>
          <w:szCs w:val="36"/>
        </w:rPr>
        <w:t>，发展工业地产，建好用活标准化厂房，认真落实“园区十条”，扎实开展联手帮扶产业发展升级行动，提升园区承载和吸纳能力。改造提升现有工业产业。盘活闲置资源和产能，支持绿色食品、生物医药、新材料、电子科技、印刷等产业做大做强。大力引进工业企业。按照“资源集中、用地集约、产业集聚、产城融合”的要求，开展引企入园和满园扩园行动，大招商，选好商，五年引进企业60家以上。</w:t>
      </w:r>
      <w:r>
        <w:rPr>
          <w:rFonts w:hint="eastAsia" w:ascii="楷体_GB2312" w:hAnsi="黑体" w:eastAsia="楷体_GB2312"/>
          <w:b/>
          <w:sz w:val="36"/>
          <w:szCs w:val="36"/>
        </w:rPr>
        <w:t>推进全域旅游。</w:t>
      </w:r>
      <w:r>
        <w:rPr>
          <w:rFonts w:hint="eastAsia" w:ascii="仿宋" w:hAnsi="仿宋" w:eastAsia="仿宋"/>
          <w:sz w:val="36"/>
          <w:szCs w:val="36"/>
        </w:rPr>
        <w:t>做好规划设计。编制完成全域旅游各项规划，突出资源整合和产业融合，努力建设国家全域旅游示范区。建设旅游景点。加快洞庭湖博览园建设步伐，完成洞庭湖博物馆、洞庭湖欢乐世界、洞庭湖大桥观光塔等项目建设，深度开发建设君山野生荷花世界，创建天井山国家AAA级景区，规划建设沿江环湖生态观光大道。拓展特色旅游。提质发展湖乡休闲、商务度假、湿地观鸟等旅游产品；拓展旅游线路，积极发展文化怀古游、红色爱国游、乡村体验游、周末休闲游。完善产业要素。构建通畅便捷的旅游交通、配套完善的公共服务、精细高效的管理体系，增强君山生态旅游的竞争力和美誉度。</w:t>
      </w:r>
      <w:r>
        <w:rPr>
          <w:rFonts w:hint="eastAsia" w:ascii="楷体_GB2312" w:hAnsi="黑体" w:eastAsia="楷体_GB2312"/>
          <w:b/>
          <w:sz w:val="36"/>
          <w:szCs w:val="36"/>
        </w:rPr>
        <w:t>培育新兴产业。</w:t>
      </w:r>
      <w:r>
        <w:rPr>
          <w:rFonts w:hint="eastAsia" w:ascii="仿宋" w:hAnsi="仿宋" w:eastAsia="仿宋"/>
          <w:sz w:val="36"/>
          <w:szCs w:val="36"/>
        </w:rPr>
        <w:t>发展新能源产业。加快LNG接收站、天然气分布式能源、光伏发电等项目建设。发展金融保险业。着力引进各类金融保险机构，加快金融产业集聚。发展健康产业。规划建设颐养、健康和休闲康养基地，培育发展疗养康复、保健养生产业。发展现代物流业。依托蒙华铁路、杭瑞高速、荆江门港区互联的大交通大流通网络，加快物流园区、冷链仓储、物流配送、电子商务等工程建设，加速人流、物流、资金流和信息流的集聚，打造沿江环湖现代物流大区。</w:t>
      </w:r>
    </w:p>
    <w:p>
      <w:pPr>
        <w:spacing w:after="0" w:line="600" w:lineRule="exact"/>
        <w:ind w:firstLine="720" w:firstLineChars="200"/>
        <w:jc w:val="both"/>
        <w:rPr>
          <w:rFonts w:ascii="仿宋" w:hAnsi="仿宋" w:eastAsia="仿宋"/>
          <w:sz w:val="36"/>
          <w:szCs w:val="36"/>
        </w:rPr>
      </w:pPr>
      <w:r>
        <w:rPr>
          <w:rFonts w:hint="eastAsia" w:ascii="黑体" w:hAnsi="黑体" w:eastAsia="黑体"/>
          <w:sz w:val="36"/>
          <w:szCs w:val="36"/>
        </w:rPr>
        <w:t>（三）加快建设美丽城乡。</w:t>
      </w:r>
      <w:r>
        <w:rPr>
          <w:rFonts w:hint="eastAsia" w:ascii="楷体_GB2312" w:hAnsi="黑体" w:eastAsia="楷体_GB2312"/>
          <w:b/>
          <w:sz w:val="36"/>
          <w:szCs w:val="36"/>
        </w:rPr>
        <w:t>坚持规划引领。</w:t>
      </w:r>
      <w:r>
        <w:rPr>
          <w:rFonts w:hint="eastAsia" w:ascii="仿宋" w:hAnsi="仿宋" w:eastAsia="仿宋"/>
          <w:sz w:val="36"/>
          <w:szCs w:val="36"/>
        </w:rPr>
        <w:t>建立健全区域层次完整的规划体系，两年内全面完成镇区和村庄规划。以战略思维提升规划设计水平，维护规划的严肃性和权威性，积极推进“多规合一”，加快各项规划实施落地。科学规划镇域发展，支持钱粮湖镇打造君山次中心、广兴洲镇建设省际边界口子镇、许市镇建设君山特色小镇、良心堡镇建设现代农业强镇、芦苇总场创建国家湿地公园。</w:t>
      </w:r>
      <w:r>
        <w:rPr>
          <w:rFonts w:hint="eastAsia" w:ascii="楷体_GB2312" w:hAnsi="黑体" w:eastAsia="楷体_GB2312"/>
          <w:b/>
          <w:sz w:val="36"/>
          <w:szCs w:val="36"/>
        </w:rPr>
        <w:t>建设核心城区。</w:t>
      </w:r>
      <w:r>
        <w:rPr>
          <w:rFonts w:hint="eastAsia" w:ascii="仿宋" w:hAnsi="仿宋" w:eastAsia="仿宋"/>
          <w:sz w:val="36"/>
          <w:szCs w:val="36"/>
        </w:rPr>
        <w:t>立足发挥核心城区对城市建设的辐射引领作用，规划建设以挂口为主体的城市核心区。实施核心城区道路通达工程，打通“断头路”，实现无缝链接，构建循环交通。把核心城区建设与河湖联通、生态景观建设结合起来，推进美化、绿化，建设“城在绿中,水在城中”的花园城市；与旅游发展、文化建设结合起来，完善功能布局，丰富城市业态，兴旺人气商气。完善城市给排水、供电、供气、通信、地下管廊和公共停车场等基础设施；发展城市公交，优化出行方式；加快小街小巷提质和城镇棚户区改造。</w:t>
      </w:r>
      <w:r>
        <w:rPr>
          <w:rFonts w:hint="eastAsia" w:ascii="楷体_GB2312" w:hAnsi="黑体" w:eastAsia="楷体_GB2312"/>
          <w:b/>
          <w:sz w:val="36"/>
          <w:szCs w:val="36"/>
        </w:rPr>
        <w:t>建设美丽乡村。</w:t>
      </w:r>
      <w:r>
        <w:rPr>
          <w:rFonts w:hint="eastAsia" w:ascii="仿宋" w:hAnsi="仿宋" w:eastAsia="仿宋"/>
          <w:sz w:val="36"/>
          <w:szCs w:val="36"/>
        </w:rPr>
        <w:t>坚持以美丽乡村建设统领农业农村工作。加快镇村基础设施建设和环境综合整治，引导农民规范集中建房，不断改善农民生产生活条件；促进农村产业融合发展，培育壮大优势特色产业；提升农村公共服务水平，创新乡村治理机制，争创全省美丽乡村整域推进示范区。</w:t>
      </w:r>
      <w:r>
        <w:rPr>
          <w:rFonts w:hint="eastAsia" w:ascii="楷体_GB2312" w:hAnsi="黑体" w:eastAsia="楷体_GB2312"/>
          <w:b/>
          <w:sz w:val="36"/>
          <w:szCs w:val="36"/>
        </w:rPr>
        <w:t>加强经营管理。</w:t>
      </w:r>
      <w:r>
        <w:rPr>
          <w:rFonts w:hint="eastAsia" w:ascii="仿宋" w:hAnsi="仿宋" w:eastAsia="仿宋"/>
          <w:sz w:val="36"/>
          <w:szCs w:val="36"/>
        </w:rPr>
        <w:t>强化经营城市理念，盘活国有存量资产，加大土地收储和开发力度，创新公用设施建设运营机制；推进农村集体土地确权，加强国有农用地经营管理，打击非法强占和违法流转，依法依规收取经营田租赁费。巩固全国文明城市创建成果，深入推进中心城区交通秩序、农贸市场、环境卫生、五小门店、人行道和城中村等专项整治，着力解决乱停乱靠、乱贴乱画、占道经营等突出问题。创新城市管理模式，建立完善智慧城市管理系统，实现禁拆治违、环境整治、文明创建常态长效，建设优美整洁、规范有序、文明和谐的新型宜居城镇。</w:t>
      </w:r>
    </w:p>
    <w:p>
      <w:pPr>
        <w:spacing w:after="0" w:line="600" w:lineRule="exact"/>
        <w:ind w:firstLine="720" w:firstLineChars="200"/>
        <w:jc w:val="both"/>
        <w:rPr>
          <w:rFonts w:ascii="仿宋_GB2312" w:eastAsia="仿宋_GB2312"/>
          <w:sz w:val="36"/>
          <w:szCs w:val="36"/>
        </w:rPr>
      </w:pPr>
      <w:r>
        <w:rPr>
          <w:rFonts w:hint="eastAsia" w:ascii="黑体" w:hAnsi="黑体" w:eastAsia="黑体"/>
          <w:sz w:val="36"/>
          <w:szCs w:val="36"/>
        </w:rPr>
        <w:t>（四）努力改善民生福祉。</w:t>
      </w:r>
      <w:r>
        <w:rPr>
          <w:rFonts w:hint="eastAsia" w:ascii="楷体_GB2312" w:hAnsi="黑体" w:eastAsia="楷体_GB2312"/>
          <w:b/>
          <w:sz w:val="36"/>
          <w:szCs w:val="36"/>
        </w:rPr>
        <w:t>强化社会保障。</w:t>
      </w:r>
      <w:r>
        <w:rPr>
          <w:rFonts w:hint="eastAsia" w:ascii="仿宋" w:hAnsi="仿宋" w:eastAsia="仿宋"/>
          <w:sz w:val="36"/>
          <w:szCs w:val="36"/>
        </w:rPr>
        <w:t>建立就业三级网上综合服务平台，加强就业指导和服务，拓宽就业渠道，鼓励创业带动就业；扩大和强化城乡社会保险，进一步提升社会保险的保障水平，确保各项社会保险待遇按时足额支付。加快住房保障体系建设，尽最大努力满足居民住房基本需求；加强敬老院、福利院、救助中心、社区养老服务中心等设施建设，严格落实社会救助、社会福利、养老服务、优抚安置等政策，扎实做好残疾人服务工作，让最需要得到帮助的弱势群体及时得到帮扶救助；深入推进精准扶贫，实现贫困人口如期脱贫，做好因病因灾返贫、新致贫人口的服务保障工作；完善村级组织运转经费保障机制，逐步加大财政支持力度，助力基层队伍建设。</w:t>
      </w:r>
      <w:r>
        <w:rPr>
          <w:rFonts w:hint="eastAsia" w:ascii="楷体_GB2312" w:hAnsi="黑体" w:eastAsia="楷体_GB2312"/>
          <w:b/>
          <w:sz w:val="36"/>
          <w:szCs w:val="36"/>
        </w:rPr>
        <w:t>优化公共服务。</w:t>
      </w:r>
      <w:r>
        <w:rPr>
          <w:rFonts w:hint="eastAsia" w:ascii="仿宋" w:hAnsi="仿宋" w:eastAsia="仿宋"/>
          <w:sz w:val="36"/>
          <w:szCs w:val="36"/>
        </w:rPr>
        <w:t>完善计划生育利益导向机制，积极推行妇幼健康优质服务，全面落实“两孩”生育政策。提质公共文化服务示范区，落实居民健身条例，加强文化体育基础设施建设、文化市场综合管理和文化遗产保护，开展多种形式的文体活动，鼓励文化艺术创作，培育发展文体产业，努力满足群众文体休闲需求。高度重视农村“三留守”和“空心村”等问题。加快发展史志档案、外事侨务、民族宗教等各项事业。充分发挥工会、共青团、妇联、工商联和科协在社会管理和公共服务中的桥梁纽带作用，大力倡导关爱他人、关爱社会、关爱自然的志愿服务行动。</w:t>
      </w:r>
      <w:r>
        <w:rPr>
          <w:rFonts w:hint="eastAsia" w:ascii="楷体_GB2312" w:hAnsi="黑体" w:eastAsia="楷体_GB2312"/>
          <w:b/>
          <w:sz w:val="36"/>
          <w:szCs w:val="36"/>
        </w:rPr>
        <w:t>促进社会和谐。</w:t>
      </w:r>
      <w:r>
        <w:rPr>
          <w:rFonts w:hint="eastAsia" w:ascii="仿宋" w:hAnsi="仿宋" w:eastAsia="仿宋"/>
          <w:sz w:val="36"/>
          <w:szCs w:val="36"/>
        </w:rPr>
        <w:t>强化安全生产监管。建立健全隐患排查治理和安全预防控制体系，加强烟花爆竹、校车、消防、危险化学品等重点领域安全监管，有效防范重特大安全事故。强化食品药品安全。健全食品药品监管体系，切实加强监管能力建设，保障人民群众饮食用药安全，争创全国食品安全示范县。积极化解矛盾纠纷。认真落实“七五”普法规划，完善公共法律服务体系；全面落实网上信访和信访诉求分类处理制度，加强互联网舆情监管和基层综治中心建设，健全完善“三调联动”机制，把矛盾化解在萌芽状态。强化基层管理服务。推行网格化管理，认真做好社区矫正、流动人口管理等工作，切实加强对肇事肇祸精神病人、涉毒重点人员、高危极端人员等特殊人群的管理；强化行业规范、村规民约、家风家训的约束作用。推进平安君山建设。完善“天网工程”，建立健全治安防控体系，严厉打击各类违法犯罪，维护社会公平正义，确保综治民调继续保持全省前列，确保社会大局和谐稳定。</w:t>
      </w:r>
    </w:p>
    <w:p>
      <w:pPr>
        <w:spacing w:after="0" w:line="600" w:lineRule="exact"/>
        <w:ind w:firstLine="720" w:firstLineChars="200"/>
        <w:jc w:val="both"/>
        <w:rPr>
          <w:rFonts w:ascii="仿宋" w:hAnsi="仿宋" w:eastAsia="仿宋"/>
          <w:sz w:val="36"/>
          <w:szCs w:val="36"/>
        </w:rPr>
      </w:pPr>
      <w:r>
        <w:rPr>
          <w:rFonts w:hint="eastAsia" w:ascii="黑体" w:hAnsi="黑体" w:eastAsia="黑体"/>
          <w:sz w:val="36"/>
          <w:szCs w:val="36"/>
        </w:rPr>
        <w:t>（五）切实增强发展后劲。</w:t>
      </w:r>
      <w:r>
        <w:rPr>
          <w:rFonts w:hint="eastAsia" w:ascii="楷体_GB2312" w:hAnsi="黑体" w:eastAsia="楷体_GB2312"/>
          <w:b/>
          <w:sz w:val="36"/>
          <w:szCs w:val="36"/>
        </w:rPr>
        <w:t>涵养生态底蕴。</w:t>
      </w:r>
      <w:r>
        <w:rPr>
          <w:rFonts w:hint="eastAsia" w:ascii="仿宋" w:hAnsi="仿宋" w:eastAsia="仿宋"/>
          <w:sz w:val="36"/>
          <w:szCs w:val="36"/>
        </w:rPr>
        <w:t>强化生态意识。加强生态文明宣传教育和舆论引导，增强全民节约资源、保护环境和改善生态意识，自觉形成尊重自然、热爱自然、人与自然和谐相处的生态价值观。强化生态保护。实行最严格的生态红线管控和水资源管理，加大湿地生态全方位保护力度，逐步实施湿地生态污水处理试点、湖泊及河流湿地保护与恢复、濠河湿地生态修复与生物多样性保护工程。积极开展全民造绿行动，推进绿色城市、绿色村镇、绿色通道等绿化建设，做好森林防火和森林资源保护工作，稳步提高森林覆盖率、城镇建成区绿地率和人均公共绿地面积；推进天井山生态环境修复工作，禁止乱挖乱采麻石等矿产资源。严格项目环评把关，加大节能减排力度，淘汰落后产能，确保万元GDP能耗降到0.62吨标煤以下，空气质量达标率95%以上。强化生态优势。积极推进国家重点生态功能区建设，充分释放“生态红利”和“绿色福利”，将生态环境作为君山决胜未来的关键因素，将生态文明作为经济社会发展的厚重底色。</w:t>
      </w:r>
      <w:r>
        <w:rPr>
          <w:rFonts w:hint="eastAsia" w:ascii="楷体_GB2312" w:hAnsi="黑体" w:eastAsia="楷体_GB2312"/>
          <w:b/>
          <w:sz w:val="36"/>
          <w:szCs w:val="36"/>
        </w:rPr>
        <w:t>优先办好教育。</w:t>
      </w:r>
      <w:r>
        <w:rPr>
          <w:rFonts w:hint="eastAsia" w:ascii="仿宋" w:hAnsi="仿宋" w:eastAsia="仿宋"/>
          <w:sz w:val="36"/>
          <w:szCs w:val="36"/>
        </w:rPr>
        <w:t>加大财政投入，优化教育资源配置，全面完成义务教育薄弱学校改造任务，推进义务教育均衡发展；全力建好办好岳阳市第十六中学，力争5年内创建省级示范性高中；高标准建设青少年活动场地；推进法制教育、公民道德教育进课堂，倡导“小手牵大手、争做文明人”，提升全民素质；加强师资队伍建设，提升君山课改品牌，大力发展学前教育、职业教育；充分利用教育信息化资源，全力推进我区教育现代化，让教育成为君山兴旺人气、促进发展的基础品牌。</w:t>
      </w:r>
      <w:r>
        <w:rPr>
          <w:rFonts w:hint="eastAsia" w:ascii="楷体_GB2312" w:hAnsi="黑体" w:eastAsia="楷体_GB2312"/>
          <w:b/>
          <w:sz w:val="36"/>
          <w:szCs w:val="36"/>
        </w:rPr>
        <w:t>强化健康保障。</w:t>
      </w:r>
      <w:r>
        <w:rPr>
          <w:rFonts w:hint="eastAsia" w:ascii="仿宋" w:hAnsi="仿宋" w:eastAsia="仿宋"/>
          <w:sz w:val="36"/>
          <w:szCs w:val="36"/>
        </w:rPr>
        <w:t>加快区级医院、镇卫生院、社区卫生服务中心和村级卫生室提质建设，完善城乡医疗卫生服务网络，提升基本公共卫生服务水平，着力构建“小病不出村、常见病不出镇、一般大病不出区”的就医格局；巩固扩大血防综合治理工作成效，完善长效工作机制，加强血防教育，全面封洲禁牧淘汰牛羊，2018年达到血吸虫病传播阻断标准，摘掉血吸虫病重疫区帽子。持续减少主要污染物排放总量，全面强化饮用水源保护，让人民群众呼吸洁净空气、喝干净水。切实加强农产品质量和食品安全监管，擦亮全国农产品质量安全示范县牌子，让吃得安全、吃得放心、吃得健康成为君山吸引人、留住人的金字招牌。</w:t>
      </w:r>
      <w:r>
        <w:rPr>
          <w:rFonts w:hint="eastAsia" w:ascii="楷体_GB2312" w:hAnsi="黑体" w:eastAsia="楷体_GB2312"/>
          <w:b/>
          <w:sz w:val="36"/>
          <w:szCs w:val="36"/>
        </w:rPr>
        <w:t>推进改革创新。</w:t>
      </w:r>
      <w:r>
        <w:rPr>
          <w:rFonts w:hint="eastAsia" w:ascii="仿宋" w:hAnsi="仿宋" w:eastAsia="仿宋"/>
          <w:sz w:val="36"/>
          <w:szCs w:val="36"/>
        </w:rPr>
        <w:t>积极稳妥落实各项改革任务，做好政府机构、乡镇区划调整和公车改革后续工作；立足君山工作实际，在国有农用地管理、农村土地流转、涉农项目资金整合、园区建设、政府购买服务、区镇财税体制等领域积极探索，建立健全适应新形势的工作机制。发挥科技创新引领作用，推进产学研用深度融合。鼓励企业开展产品和技术创新，力争五年新增专利授权450件、高新技术企业10家。加强创新创业基地建设，积极发展众创、众包、众扶、众筹空间，鼓励有实力、有技能的创业者就地创业、返乡创业。</w:t>
      </w:r>
      <w:r>
        <w:rPr>
          <w:rFonts w:hint="eastAsia" w:ascii="楷体_GB2312" w:hAnsi="黑体" w:eastAsia="楷体_GB2312"/>
          <w:b/>
          <w:sz w:val="36"/>
          <w:szCs w:val="36"/>
        </w:rPr>
        <w:t>提升要素支撑。</w:t>
      </w:r>
      <w:r>
        <w:rPr>
          <w:rFonts w:hint="eastAsia" w:ascii="仿宋" w:hAnsi="仿宋" w:eastAsia="仿宋"/>
          <w:sz w:val="36"/>
          <w:szCs w:val="36"/>
        </w:rPr>
        <w:t>深化银企合作，鼓励企业上市，努力解决中小微企业融资难题；加强土地储备和闲置土地清理，加大土地依法征收力度，保障项目建设用地；加强企业用工对接，强化煤电油运综合调度，推动企业满负荷生产；建立健全各类专业技术人才引进培养机制，大力实施“四海揽才”计划，夯实持续发展的人才基础；努力营造宽松透明的政策环境、高效便捷的政务环境、公平公正的法治环境、规范有序的市场环境，充分激发市场活力。</w:t>
      </w:r>
    </w:p>
    <w:p>
      <w:pPr>
        <w:spacing w:beforeLines="50" w:afterLines="50" w:line="620" w:lineRule="exact"/>
        <w:jc w:val="center"/>
        <w:rPr>
          <w:rFonts w:ascii="方正小标宋简体" w:eastAsia="方正小标宋简体"/>
          <w:sz w:val="36"/>
          <w:szCs w:val="36"/>
        </w:rPr>
      </w:pPr>
      <w:r>
        <w:rPr>
          <w:rFonts w:hint="eastAsia" w:ascii="方正小标宋简体" w:eastAsia="方正小标宋简体"/>
          <w:sz w:val="36"/>
          <w:szCs w:val="36"/>
        </w:rPr>
        <w:t>三、扎实做好2017年政府工作</w:t>
      </w:r>
    </w:p>
    <w:p>
      <w:pPr>
        <w:spacing w:after="0" w:line="600" w:lineRule="exact"/>
        <w:ind w:firstLine="720" w:firstLineChars="200"/>
        <w:jc w:val="both"/>
        <w:rPr>
          <w:rFonts w:ascii="仿宋" w:hAnsi="仿宋" w:eastAsia="仿宋"/>
          <w:sz w:val="36"/>
          <w:szCs w:val="36"/>
        </w:rPr>
      </w:pPr>
      <w:r>
        <w:rPr>
          <w:rFonts w:hint="eastAsia" w:ascii="仿宋" w:hAnsi="仿宋" w:eastAsia="仿宋"/>
          <w:sz w:val="36"/>
          <w:szCs w:val="36"/>
        </w:rPr>
        <w:t>2017年是新一届政府夯实发展基础的开局之年。做好政府工作，必须深入贯彻落实中央、省委、市委、区委经济工作会议精神，全面落实生态“1+5”发展战略，努力实现区域经济社会又好又快发展。</w:t>
      </w:r>
    </w:p>
    <w:p>
      <w:pPr>
        <w:spacing w:after="0" w:line="600" w:lineRule="exact"/>
        <w:ind w:firstLine="720" w:firstLineChars="200"/>
        <w:jc w:val="both"/>
        <w:rPr>
          <w:rFonts w:ascii="仿宋" w:hAnsi="仿宋" w:eastAsia="仿宋"/>
          <w:sz w:val="36"/>
          <w:szCs w:val="36"/>
        </w:rPr>
      </w:pPr>
      <w:r>
        <w:rPr>
          <w:rFonts w:hint="eastAsia" w:ascii="黑体" w:hAnsi="黑体" w:eastAsia="黑体"/>
          <w:sz w:val="36"/>
          <w:szCs w:val="36"/>
        </w:rPr>
        <w:t>2017年经济社会发展预期目标是：</w:t>
      </w:r>
      <w:r>
        <w:rPr>
          <w:rFonts w:hint="eastAsia" w:ascii="仿宋" w:hAnsi="仿宋" w:eastAsia="仿宋"/>
          <w:sz w:val="36"/>
          <w:szCs w:val="36"/>
        </w:rPr>
        <w:t>地区生产总值增长8.5%，财政总收入增长8%以上，规模工业增加值增长8.5%，固定资产投资增长13%，社会消费品零售总额增长12%，城乡居民人均可支配收入分别增长10%，城镇登记失业率控制在3.9%以内，人口自然增长率控制在</w:t>
      </w:r>
      <w:r>
        <w:rPr>
          <w:rFonts w:ascii="仿宋" w:hAnsi="仿宋" w:eastAsia="仿宋"/>
          <w:sz w:val="36"/>
          <w:szCs w:val="36"/>
        </w:rPr>
        <w:t>7.5‰</w:t>
      </w:r>
      <w:r>
        <w:rPr>
          <w:rFonts w:hint="eastAsia" w:ascii="仿宋" w:hAnsi="仿宋" w:eastAsia="仿宋"/>
          <w:sz w:val="36"/>
          <w:szCs w:val="36"/>
        </w:rPr>
        <w:t>以内，主要污染物排放总量持续减少，各项社会事业都有明显进步。</w:t>
      </w:r>
    </w:p>
    <w:p>
      <w:pPr>
        <w:spacing w:after="0" w:line="600" w:lineRule="exact"/>
        <w:ind w:firstLine="720" w:firstLineChars="200"/>
        <w:jc w:val="both"/>
        <w:rPr>
          <w:rFonts w:ascii="仿宋" w:hAnsi="仿宋" w:eastAsia="仿宋"/>
          <w:sz w:val="36"/>
          <w:szCs w:val="36"/>
        </w:rPr>
      </w:pPr>
      <w:r>
        <w:rPr>
          <w:rFonts w:hint="eastAsia" w:ascii="黑体" w:hAnsi="黑体" w:eastAsia="黑体"/>
          <w:sz w:val="36"/>
          <w:szCs w:val="36"/>
        </w:rPr>
        <w:t>（一）推进项目建设。</w:t>
      </w:r>
      <w:r>
        <w:rPr>
          <w:rFonts w:hint="eastAsia" w:ascii="楷体_GB2312" w:hAnsi="黑体" w:eastAsia="楷体_GB2312"/>
          <w:b/>
          <w:sz w:val="36"/>
          <w:szCs w:val="36"/>
        </w:rPr>
        <w:t>大力招商引资。</w:t>
      </w:r>
      <w:r>
        <w:rPr>
          <w:rFonts w:hint="eastAsia" w:ascii="仿宋" w:hAnsi="仿宋" w:eastAsia="仿宋"/>
          <w:sz w:val="36"/>
          <w:szCs w:val="36"/>
        </w:rPr>
        <w:t>突出招商重点。依托洞庭湖绿色食品产业园和洞庭湖博览园，充分发挥标准化厂房作为孵化器的作用，加强与战略投资者的合作，大力引进符合产业规划、环保政策的企业入园。创新招商方式。立足区位和资源优势，大力开展精准招商、以商招商、委托招商和产业链招商，努力在龙头企业引进和加速产业集聚上实现新突破。提升招商实效。力争全区招商引资到位资金15亿元以上、亿元以上项目4个。洞庭湖绿色食品产业园新引进项目4-5个，竣工投产企业3-4家；洞庭湖博览园引进项目2-3个。</w:t>
      </w:r>
      <w:r>
        <w:rPr>
          <w:rFonts w:hint="eastAsia" w:ascii="楷体_GB2312" w:hAnsi="黑体" w:eastAsia="楷体_GB2312"/>
          <w:b/>
          <w:sz w:val="36"/>
          <w:szCs w:val="36"/>
        </w:rPr>
        <w:t>积极争项争资。</w:t>
      </w:r>
      <w:r>
        <w:rPr>
          <w:rFonts w:hint="eastAsia" w:ascii="仿宋" w:hAnsi="仿宋" w:eastAsia="仿宋"/>
          <w:sz w:val="36"/>
          <w:szCs w:val="36"/>
        </w:rPr>
        <w:t>抢抓政策机遇。认真研究国家、省市的投资政策和投资方向，深挖政策机遇含金量，提高争取项目、资金的针对性和精准度。推介对接项目。充分利用“十三五”规划项目库成果，善于策划包装，勤于汇报对接，争取更多的项目挤进中央和省市实施项目笼子。全力跟踪落实。紧紧扭住纳入上级投资规划的项目，抓准时间节点，全程跟踪衔接，争取项目尽早落实。力争全年成功申报项目50个以上，争取政策性资金16亿元以上。</w:t>
      </w:r>
      <w:r>
        <w:rPr>
          <w:rFonts w:hint="eastAsia" w:ascii="楷体_GB2312" w:hAnsi="黑体" w:eastAsia="楷体_GB2312"/>
          <w:b/>
          <w:sz w:val="36"/>
          <w:szCs w:val="36"/>
        </w:rPr>
        <w:t>加快项目实施。</w:t>
      </w:r>
      <w:r>
        <w:rPr>
          <w:rFonts w:hint="eastAsia" w:ascii="仿宋" w:hAnsi="仿宋" w:eastAsia="仿宋"/>
          <w:sz w:val="36"/>
          <w:szCs w:val="36"/>
        </w:rPr>
        <w:t>扎实推进一批重大建设项目。工业项目：新型镁铝合金材料、“渔（农）光互补”光伏发电等签约项目开工建设；童记三利和二期、国泰保健食品、大农米业、华立丰电子、兴蒙生物等在建项目建成投产。旅游项目：洞庭湖欢乐世界建成开园，洞庭湖博物馆、洞庭湖观光塔等项目加快推进。基础设施项目：提质拓宽S304、S306荆江门段、进港路，实施钱粮湖110千伏变电站升级改造；推进园区集中供热、荆江门长江作业区、钱粮湖安全区建设及分洪闸、君山垸围堤加固等项目建设。着力推进一批重大前期项目。重点抓好LNG接收站、七茅线升级改造、君山野生荷花世界等项目的前期工作，力争项目尽早开工建设。</w:t>
      </w:r>
    </w:p>
    <w:p>
      <w:pPr>
        <w:spacing w:after="0" w:line="600" w:lineRule="exact"/>
        <w:ind w:firstLine="720" w:firstLineChars="200"/>
        <w:jc w:val="both"/>
        <w:rPr>
          <w:rFonts w:ascii="仿宋" w:hAnsi="仿宋" w:eastAsia="仿宋"/>
          <w:sz w:val="36"/>
          <w:szCs w:val="36"/>
        </w:rPr>
      </w:pPr>
      <w:r>
        <w:rPr>
          <w:rFonts w:hint="eastAsia" w:ascii="黑体" w:hAnsi="黑体" w:eastAsia="黑体"/>
          <w:sz w:val="36"/>
          <w:szCs w:val="36"/>
        </w:rPr>
        <w:t>（二）攻坚重点难点。</w:t>
      </w:r>
      <w:r>
        <w:rPr>
          <w:rFonts w:hint="eastAsia" w:ascii="楷体_GB2312" w:hAnsi="黑体" w:eastAsia="楷体_GB2312"/>
          <w:b/>
          <w:sz w:val="36"/>
          <w:szCs w:val="36"/>
        </w:rPr>
        <w:t>决胜全面小康。</w:t>
      </w:r>
      <w:r>
        <w:rPr>
          <w:rFonts w:hint="eastAsia" w:ascii="仿宋" w:hAnsi="仿宋" w:eastAsia="仿宋"/>
          <w:sz w:val="36"/>
          <w:szCs w:val="36"/>
        </w:rPr>
        <w:t>对照省市全面建成小康社会考评指标体系，巩固达标指标，防止回落滑坡；狠抓弱项短板攻坚，全面提升财政收入、园区规模工业占比等指标实现程度，使我区全面建成小康社会总实现程度巩固在90%以上，确保获省全面建成小康社会达标认定。</w:t>
      </w:r>
      <w:r>
        <w:rPr>
          <w:rFonts w:hint="eastAsia" w:ascii="楷体_GB2312" w:hAnsi="黑体" w:eastAsia="楷体_GB2312"/>
          <w:b/>
          <w:sz w:val="36"/>
          <w:szCs w:val="36"/>
        </w:rPr>
        <w:t>决胜精准扶贫。</w:t>
      </w:r>
      <w:r>
        <w:rPr>
          <w:rFonts w:hint="eastAsia" w:ascii="仿宋" w:hAnsi="仿宋" w:eastAsia="仿宋"/>
          <w:sz w:val="36"/>
          <w:szCs w:val="36"/>
        </w:rPr>
        <w:t>营造“政府主导、部门联动、社会参与”的强大合力，围绕“两不愁、三保障”，落实产业扶持、转移就业、扶贫小额信贷、扶贫助学、危房改造、医疗救助、兜底保障等措施，确保现有贫困人口2017年整体脱贫。</w:t>
      </w:r>
      <w:r>
        <w:rPr>
          <w:rFonts w:hint="eastAsia" w:ascii="楷体_GB2312" w:hAnsi="黑体" w:eastAsia="楷体_GB2312"/>
          <w:b/>
          <w:sz w:val="36"/>
          <w:szCs w:val="36"/>
        </w:rPr>
        <w:t>决战水环境整治。</w:t>
      </w:r>
      <w:r>
        <w:rPr>
          <w:rFonts w:hint="eastAsia" w:ascii="仿宋" w:hAnsi="仿宋" w:eastAsia="仿宋"/>
          <w:sz w:val="36"/>
          <w:szCs w:val="36"/>
        </w:rPr>
        <w:t>完成城区沟渠塘坝清淤增蓄工程；取缔畜禽养殖禁养区范围内规模养殖场（户）；全面拆除禁养水域内的养殖网箱、围网等设施；实施水岸共治行动，彻底清理河湖沿岸及河道内的各类垃圾、漂浮物；保持工业企业污染防治高压态势，严厉打击私设排污口等违法排污行为，基本消除辖区内劣五类水体，实现水美岸绿、人水和谐。</w:t>
      </w:r>
      <w:r>
        <w:rPr>
          <w:rFonts w:hint="eastAsia" w:ascii="楷体_GB2312" w:hAnsi="黑体" w:eastAsia="楷体_GB2312"/>
          <w:b/>
          <w:sz w:val="36"/>
          <w:szCs w:val="36"/>
        </w:rPr>
        <w:t>决战禁拆治违和土地依法征收。</w:t>
      </w:r>
      <w:r>
        <w:rPr>
          <w:rFonts w:hint="eastAsia" w:ascii="仿宋" w:hAnsi="仿宋" w:eastAsia="仿宋"/>
          <w:sz w:val="36"/>
          <w:szCs w:val="36"/>
        </w:rPr>
        <w:t>坚持铁腕控建、铁腕拆违、铁腕查处，严厉打击违法建设行为，完善监控网络，严格落实禁拆治违“三为主”工作责任和“四级联动”工作机制，加强禁拆治违工作队伍建设，引导规范居民建房，积极稳妥解决民生建房中存在的问题，出台《君山区民生建房实施细则》，保障群众切身利益。深入细致做好法律法规和政策宣传解释工作，在妥善做好安置工作的同时，加大土地依法征收力度，强化发展和项目用地保障，实现禁拆治违和土地依法征收“两项清零”目标。</w:t>
      </w:r>
      <w:r>
        <w:rPr>
          <w:rFonts w:hint="eastAsia" w:ascii="楷体_GB2312" w:hAnsi="仿宋" w:eastAsia="楷体_GB2312"/>
          <w:b/>
          <w:sz w:val="36"/>
          <w:szCs w:val="36"/>
        </w:rPr>
        <w:t>决战道路交通安全整治。</w:t>
      </w:r>
      <w:r>
        <w:rPr>
          <w:rFonts w:hint="eastAsia" w:ascii="仿宋" w:hAnsi="仿宋" w:eastAsia="仿宋"/>
          <w:sz w:val="36"/>
          <w:szCs w:val="36"/>
        </w:rPr>
        <w:t>强化宣传教育。推进道路交通安全教育进机关、进村庄、进社区、进学校、进企业，切实增强全民文明交通安全意识。加强隐患排查。强化源头管理，定期对事故多发点段、危险路段开展滚动排查，加强安保设施建设维护。开展专项整治。严查严处酒后驾驶、超速超载等交通违法行为，加强路域环境整治，大力开展非法营运、“黑车”接送学生、拖拉机和三轮车违规搭载人员等专项整治。努力实现群众交通安全意识明显增强、交通违法行为明显减少、道路交通秩序明显好转、道路交通事故明显下降。</w:t>
      </w:r>
    </w:p>
    <w:p>
      <w:pPr>
        <w:spacing w:after="0" w:line="600" w:lineRule="exact"/>
        <w:ind w:firstLine="720" w:firstLineChars="200"/>
        <w:jc w:val="both"/>
        <w:rPr>
          <w:rFonts w:ascii="仿宋" w:hAnsi="仿宋" w:eastAsia="仿宋"/>
          <w:sz w:val="36"/>
          <w:szCs w:val="36"/>
        </w:rPr>
      </w:pPr>
      <w:r>
        <w:rPr>
          <w:rFonts w:hint="eastAsia" w:ascii="黑体" w:hAnsi="黑体" w:eastAsia="黑体"/>
          <w:sz w:val="36"/>
          <w:szCs w:val="36"/>
        </w:rPr>
        <w:t>（三）加快城乡建设。</w:t>
      </w:r>
      <w:r>
        <w:rPr>
          <w:rFonts w:hint="eastAsia" w:ascii="楷体_GB2312" w:hAnsi="黑体" w:eastAsia="楷体_GB2312"/>
          <w:b/>
          <w:sz w:val="36"/>
          <w:szCs w:val="36"/>
        </w:rPr>
        <w:t>推进核心城区建设。</w:t>
      </w:r>
      <w:r>
        <w:rPr>
          <w:rFonts w:hint="eastAsia" w:ascii="仿宋" w:hAnsi="仿宋" w:eastAsia="仿宋"/>
          <w:sz w:val="36"/>
          <w:szCs w:val="36"/>
        </w:rPr>
        <w:t>建设君兴路，完成创业路、富民路东延工程。做好柳毅路提质改造规划设计，着力打造集休闲娱乐、商贸购物、餐饮美食于一体的生态城市走廊，建好一期工程。加快完善给排水管网、供电、公共停车场、公交站、交通安保等设施；加大城区绿化、美化、亮化、净化和小街小巷改造力度，推进“拆围透绿”，加大油烟整治力度；加快引进大型超市、品牌餐饮、休闲娱乐等城市业态。</w:t>
      </w:r>
      <w:r>
        <w:rPr>
          <w:rFonts w:hint="eastAsia" w:ascii="楷体_GB2312" w:hAnsi="黑体" w:eastAsia="楷体_GB2312"/>
          <w:b/>
          <w:sz w:val="36"/>
          <w:szCs w:val="36"/>
        </w:rPr>
        <w:t>推进美丽乡村建设。</w:t>
      </w:r>
      <w:r>
        <w:rPr>
          <w:rFonts w:hint="eastAsia" w:ascii="仿宋" w:hAnsi="仿宋" w:eastAsia="仿宋"/>
          <w:sz w:val="36"/>
          <w:szCs w:val="36"/>
        </w:rPr>
        <w:t>加强农村人居环境综合治理。完善垃圾日产日清机制，严控秸杆焚烧，加大改厕、改厨力度；加强农业面源污染治理，建设病死动物无害化收集点；大力开展村庄绿化行动，实施“五边”造林，推进村庄绿化、庭院美化。改善农村基础设施。全面推进全省“四好”农村公路示范区创建工作，整合实施沟渠疏浚、土地整治、移民开发、农业血防、安全饮水等年度涉农项目建设。规范农民集中建房。兑现村民规范建房奖励政策，鼓励村民在集中建房点建房，建设一批农民宜居小区。培育农村特色产业。加快推进农产品品牌建设，打造“一镇一特”“一村一品”产业格局；推进休闲农业与乡村旅游、规模农业与精深加工融合发展，延伸农业产业链条，拓宽农民增收渠道。培育文明新风。引导村民养成良好的生产生活习惯，健全村民自治机制；充分发挥农民主体作用，全力创建全省美丽乡村整域推进示范区。</w:t>
      </w:r>
    </w:p>
    <w:p>
      <w:pPr>
        <w:spacing w:after="0" w:line="620" w:lineRule="exact"/>
        <w:ind w:firstLine="720" w:firstLineChars="200"/>
        <w:jc w:val="both"/>
        <w:rPr>
          <w:rFonts w:ascii="仿宋" w:hAnsi="仿宋" w:eastAsia="仿宋"/>
          <w:sz w:val="36"/>
          <w:szCs w:val="36"/>
        </w:rPr>
      </w:pPr>
      <w:r>
        <w:rPr>
          <w:rFonts w:hint="eastAsia" w:ascii="黑体" w:hAnsi="黑体" w:eastAsia="黑体"/>
          <w:sz w:val="36"/>
          <w:szCs w:val="36"/>
        </w:rPr>
        <w:t>（四）增进民生福祉。</w:t>
      </w:r>
      <w:r>
        <w:rPr>
          <w:rFonts w:hint="eastAsia" w:ascii="仿宋" w:hAnsi="仿宋" w:eastAsia="仿宋"/>
          <w:sz w:val="36"/>
          <w:szCs w:val="36"/>
        </w:rPr>
        <w:t>认真抓好重点民生实事办理，确保省市实事办理质量，全力办好四个方面的区级实事。</w:t>
      </w:r>
    </w:p>
    <w:p>
      <w:pPr>
        <w:spacing w:after="0" w:line="620" w:lineRule="exact"/>
        <w:ind w:firstLine="723" w:firstLineChars="200"/>
        <w:jc w:val="both"/>
        <w:rPr>
          <w:rFonts w:ascii="仿宋" w:hAnsi="仿宋" w:eastAsia="仿宋"/>
          <w:sz w:val="36"/>
          <w:szCs w:val="36"/>
        </w:rPr>
      </w:pPr>
      <w:r>
        <w:rPr>
          <w:rFonts w:hint="eastAsia" w:ascii="楷体_GB2312" w:hAnsi="仿宋" w:eastAsia="楷体_GB2312"/>
          <w:b/>
          <w:sz w:val="36"/>
          <w:szCs w:val="36"/>
        </w:rPr>
        <w:t>1.民生保障方面：</w:t>
      </w:r>
      <w:r>
        <w:rPr>
          <w:rFonts w:hint="eastAsia" w:ascii="仿宋" w:hAnsi="仿宋" w:eastAsia="仿宋"/>
          <w:sz w:val="36"/>
          <w:szCs w:val="36"/>
        </w:rPr>
        <w:t>新增城镇就业2620人，农村劳动力转移就业1400人，城镇“零就业”家庭就业动态援助率100%；移民就业技能和实用技术培训360人；发放社会保障卡3万张；完成1处基层社保大厅网络信息化建设；扶助贫困学生668人；为困难群众办理法律援助案件80件，完成3个镇法律服务站建设；提高五保供养标准；农民工工资案件受理率、处理率和反馈率达100%。</w:t>
      </w:r>
    </w:p>
    <w:p>
      <w:pPr>
        <w:spacing w:after="0" w:line="620" w:lineRule="exact"/>
        <w:ind w:firstLine="723" w:firstLineChars="200"/>
        <w:jc w:val="both"/>
        <w:rPr>
          <w:rFonts w:ascii="仿宋" w:hAnsi="仿宋" w:eastAsia="仿宋"/>
          <w:sz w:val="36"/>
          <w:szCs w:val="36"/>
        </w:rPr>
      </w:pPr>
      <w:r>
        <w:rPr>
          <w:rFonts w:hint="eastAsia" w:ascii="楷体_GB2312" w:hAnsi="仿宋" w:eastAsia="楷体_GB2312"/>
          <w:b/>
          <w:sz w:val="36"/>
          <w:szCs w:val="36"/>
        </w:rPr>
        <w:t>2.公共服务方面：</w:t>
      </w:r>
      <w:r>
        <w:rPr>
          <w:rFonts w:hint="eastAsia" w:ascii="仿宋" w:hAnsi="仿宋" w:eastAsia="仿宋"/>
          <w:sz w:val="36"/>
          <w:szCs w:val="36"/>
        </w:rPr>
        <w:t>岳阳市第十六中学秋季招生开学，开展省级示范性高中创建工作；启动君山小学改扩建；完成全区教育信息“三通两平台”、悦来小学和新河小学多功能礼堂建设；送戏下乡50场，送电影下乡800场；启动全民健身中心前期工作；完成良心堡镇中心广场建设；创建1家三星级旅游区点；支持建设10个村级综合文化活动中心；进一步完善广播“村村响”工程；推进区中医院改扩建工程；完成精神病康复医院主体工程；区妇幼保健院搬迁投入使用；救助重性精神病患者60人；计划生育“两扶一免”政策落实100%；免费孕前优生健康检查1600对。</w:t>
      </w:r>
    </w:p>
    <w:p>
      <w:pPr>
        <w:spacing w:after="0" w:line="620" w:lineRule="exact"/>
        <w:ind w:firstLine="723" w:firstLineChars="200"/>
        <w:jc w:val="both"/>
        <w:rPr>
          <w:rFonts w:ascii="仿宋" w:hAnsi="仿宋" w:eastAsia="仿宋"/>
          <w:color w:val="FF0000"/>
          <w:sz w:val="36"/>
          <w:szCs w:val="36"/>
        </w:rPr>
      </w:pPr>
      <w:r>
        <w:rPr>
          <w:rFonts w:hint="eastAsia" w:ascii="楷体_GB2312" w:hAnsi="仿宋" w:eastAsia="楷体_GB2312"/>
          <w:b/>
          <w:sz w:val="36"/>
          <w:szCs w:val="36"/>
        </w:rPr>
        <w:t>3.城镇环境方面：</w:t>
      </w:r>
      <w:r>
        <w:rPr>
          <w:rFonts w:hint="eastAsia" w:ascii="仿宋" w:hAnsi="仿宋" w:eastAsia="仿宋"/>
          <w:sz w:val="36"/>
          <w:szCs w:val="36"/>
        </w:rPr>
        <w:t>实施中心城区自来水管网提质改造工程；城镇公共供水厂水质达到生活饮用水标准；中心城区生活污水、垃圾处理率达100%，城网改造10个配电布点；城市棚户区改造2135套；建好中心城区停车洗车场；加快中心城区背街小巷及社区基础设施改造；建筑工地扰民、噪声投诉受理处理率100%；改造社区服务平台2个。</w:t>
      </w:r>
    </w:p>
    <w:p>
      <w:pPr>
        <w:spacing w:after="0" w:line="620" w:lineRule="exact"/>
        <w:ind w:firstLine="723" w:firstLineChars="200"/>
        <w:jc w:val="both"/>
        <w:rPr>
          <w:rFonts w:ascii="仿宋" w:hAnsi="仿宋" w:eastAsia="仿宋"/>
          <w:sz w:val="36"/>
          <w:szCs w:val="36"/>
        </w:rPr>
      </w:pPr>
      <w:r>
        <w:rPr>
          <w:rFonts w:hint="eastAsia" w:ascii="楷体_GB2312" w:hAnsi="仿宋" w:eastAsia="楷体_GB2312"/>
          <w:b/>
          <w:sz w:val="36"/>
          <w:szCs w:val="36"/>
        </w:rPr>
        <w:t>4.农村生产生活方面：</w:t>
      </w:r>
      <w:r>
        <w:rPr>
          <w:rFonts w:hint="eastAsia" w:ascii="仿宋" w:hAnsi="仿宋" w:eastAsia="仿宋"/>
          <w:sz w:val="36"/>
          <w:szCs w:val="36"/>
        </w:rPr>
        <w:t>创建省级美丽乡村示范村2个、区级美丽乡村示范村10个；规范农民集中建房7处；完成血防农业综合治理工程；建好1处大型沼气集中供气示范点；建设高标准农田1.2万亩；完成3个村的国土整治项目建设；建设农村客运招呼站20个；完成农村公路安全防护工程50公里；实施尺八嘴桥接线改造、S202高桥拆除重建；建设沿江村桥梁安全设施、悦来河村S202丁字路口交通安全设施；农网改造19个村（社区）；农村电信基站升级改造5处；行政村光网升级改造2个；农村危房改造80户、国有垦区危旧房改造3000户、建设垦区道路6条；长江防护林人工造林3000亩、森林抚育中幼林6000亩、生态公益林保护1.3万亩；完成许市镇森林防火安全设施建设；创建市级农民专业合作示范社1家。</w:t>
      </w:r>
    </w:p>
    <w:p>
      <w:pPr>
        <w:spacing w:beforeLines="50" w:afterLines="50" w:line="600" w:lineRule="exact"/>
        <w:jc w:val="center"/>
        <w:rPr>
          <w:rFonts w:ascii="方正小标宋简体" w:eastAsia="方正小标宋简体"/>
          <w:sz w:val="36"/>
          <w:szCs w:val="36"/>
        </w:rPr>
      </w:pPr>
      <w:r>
        <w:rPr>
          <w:rFonts w:hint="eastAsia" w:ascii="方正小标宋简体" w:eastAsia="方正小标宋简体"/>
          <w:sz w:val="36"/>
          <w:szCs w:val="36"/>
        </w:rPr>
        <w:t>四、切实加强政府自身建设</w:t>
      </w:r>
    </w:p>
    <w:p>
      <w:pPr>
        <w:spacing w:after="0" w:line="620" w:lineRule="exact"/>
        <w:ind w:firstLine="720" w:firstLineChars="200"/>
        <w:jc w:val="both"/>
        <w:rPr>
          <w:rFonts w:ascii="仿宋" w:hAnsi="仿宋" w:eastAsia="仿宋"/>
          <w:sz w:val="36"/>
          <w:szCs w:val="36"/>
        </w:rPr>
      </w:pPr>
      <w:r>
        <w:rPr>
          <w:rFonts w:hint="eastAsia" w:ascii="仿宋" w:hAnsi="仿宋" w:eastAsia="仿宋"/>
          <w:sz w:val="36"/>
          <w:szCs w:val="36"/>
        </w:rPr>
        <w:t>打铁还需自身硬。本届政府将把对人民负责作为政府工作的第一准则，把让人民满意作为政府工作的第一追求，把使人民幸福作为政府工作的第一目标，努力推进政府自身建设。</w:t>
      </w:r>
    </w:p>
    <w:p>
      <w:pPr>
        <w:spacing w:after="0" w:line="620" w:lineRule="exact"/>
        <w:ind w:firstLine="720" w:firstLineChars="200"/>
        <w:jc w:val="both"/>
        <w:rPr>
          <w:rFonts w:ascii="仿宋" w:hAnsi="仿宋" w:eastAsia="仿宋"/>
          <w:sz w:val="36"/>
          <w:szCs w:val="36"/>
        </w:rPr>
      </w:pPr>
      <w:r>
        <w:rPr>
          <w:rFonts w:hint="eastAsia" w:ascii="黑体" w:hAnsi="黑体" w:eastAsia="黑体"/>
          <w:sz w:val="36"/>
          <w:szCs w:val="36"/>
        </w:rPr>
        <w:t>（一）建设法治政府。</w:t>
      </w:r>
      <w:r>
        <w:rPr>
          <w:rFonts w:hint="eastAsia" w:ascii="仿宋" w:hAnsi="仿宋" w:eastAsia="仿宋"/>
          <w:sz w:val="36"/>
          <w:szCs w:val="36"/>
        </w:rPr>
        <w:t>全面落实《法治政府建设实施纲要（2015-2020年）》，切实履行重大行政决策法定程序，坚决做到法定职责必须为、法无授权不可为。公正文明执法，规范行政自由裁量权；科学设定权责清单，着力解决行政执法职责交叉、多头执法等问题。依法打击强揽工程、强买强卖、强行阻工，公开曝光企业违法违规行为。及时主动公开政务信息和群众密切关注的低保、保障性住房分配等政策信息，做到全程公开公示，确保公众知情权和参与权。加强政府诚信建设，着力解决工程建设遗留问题。完善法律顾问制度，依法依规做好行政复议工作。坚持把普法、守法作为依法治区的长期基础性工作，加强国家公职人员法治理念培养和法治能力提升，引导群众依法理性表达诉求、依法维护权益。</w:t>
      </w:r>
    </w:p>
    <w:p>
      <w:pPr>
        <w:spacing w:after="0" w:line="620" w:lineRule="exact"/>
        <w:ind w:firstLine="720" w:firstLineChars="200"/>
        <w:jc w:val="both"/>
        <w:rPr>
          <w:rFonts w:ascii="仿宋" w:hAnsi="仿宋" w:eastAsia="仿宋"/>
          <w:sz w:val="36"/>
          <w:szCs w:val="36"/>
        </w:rPr>
      </w:pPr>
      <w:r>
        <w:rPr>
          <w:rFonts w:hint="eastAsia" w:ascii="黑体" w:hAnsi="黑体" w:eastAsia="黑体"/>
          <w:sz w:val="36"/>
          <w:szCs w:val="36"/>
        </w:rPr>
        <w:t>（二）建设务实政府。</w:t>
      </w:r>
      <w:r>
        <w:rPr>
          <w:rFonts w:hint="eastAsia" w:ascii="仿宋" w:hAnsi="仿宋" w:eastAsia="仿宋"/>
          <w:sz w:val="36"/>
          <w:szCs w:val="36"/>
        </w:rPr>
        <w:t>持续改进作风。大力精简各类政府性会议，严格控制会议规模，确保全区政府性文件、会议精简四分之一以上；区政府班子成员坚持常态化下基层调查研究。坚决克服办事拖沓、推诿扯皮现象，对上级和区委的决策部署，快速反应、果断执行，发生重大突发事件，政府分管领导必须在第一时间赶赴现场、靠前指挥、及时处置。狠抓工作落实。推进区政府重要文件和会议精神、领导批示交办工作落实，提高公文处理效率，落实限时办结。进一步完善抓落实的责任机制，对每个项目、每项工作、每件实事，自始至终做到责任到人、工作到位、一抓到底。严肃问责问效。大力惩治庸懒散，消除不作为，杜绝慢作为，严禁乱作为。</w:t>
      </w:r>
    </w:p>
    <w:p>
      <w:pPr>
        <w:spacing w:after="0" w:line="620" w:lineRule="exact"/>
        <w:ind w:firstLine="720" w:firstLineChars="200"/>
        <w:jc w:val="both"/>
        <w:rPr>
          <w:rFonts w:ascii="仿宋" w:hAnsi="仿宋" w:eastAsia="仿宋"/>
          <w:sz w:val="36"/>
          <w:szCs w:val="36"/>
        </w:rPr>
      </w:pPr>
      <w:r>
        <w:rPr>
          <w:rFonts w:hint="eastAsia" w:ascii="黑体" w:hAnsi="黑体" w:eastAsia="黑体"/>
          <w:sz w:val="36"/>
          <w:szCs w:val="36"/>
        </w:rPr>
        <w:t>（三）建设服务政府。</w:t>
      </w:r>
      <w:r>
        <w:rPr>
          <w:rFonts w:hint="eastAsia" w:ascii="仿宋" w:hAnsi="仿宋" w:eastAsia="仿宋"/>
          <w:sz w:val="36"/>
          <w:szCs w:val="36"/>
        </w:rPr>
        <w:t>加快转变政府职能。严格按照“三清单一目录”，推进简政放权，提升行政效能。优化政务服务。深入推进“两集中、两到位”行政审批改革，进一步精简和规范行政审批；建立完善电子政务系统，逐步实现网上办公、网上服务和网上监督，促进政府公务人员学网、知网、懂网、用网；强化首问负责制、服务承诺制和全程代办制，创新政府绩效、县域经济考核方式。实行人大代表建议、政协委员提案全程公开办理，进一步提高办理的满意率。充分发挥“12345”公众服务热线和便民服务平台作用，做到百分之百受理、百分之百办理、百分之百反馈。</w:t>
      </w:r>
    </w:p>
    <w:p>
      <w:pPr>
        <w:spacing w:after="0" w:line="620" w:lineRule="exact"/>
        <w:ind w:firstLine="720" w:firstLineChars="200"/>
        <w:jc w:val="both"/>
        <w:rPr>
          <w:rFonts w:ascii="仿宋" w:hAnsi="仿宋" w:eastAsia="仿宋"/>
          <w:sz w:val="36"/>
          <w:szCs w:val="36"/>
        </w:rPr>
      </w:pPr>
      <w:r>
        <w:rPr>
          <w:rFonts w:hint="eastAsia" w:ascii="黑体" w:hAnsi="黑体" w:eastAsia="黑体"/>
          <w:sz w:val="36"/>
          <w:szCs w:val="36"/>
        </w:rPr>
        <w:t>（四）建设廉洁政府。</w:t>
      </w:r>
      <w:r>
        <w:rPr>
          <w:rFonts w:hint="eastAsia" w:ascii="仿宋" w:hAnsi="仿宋" w:eastAsia="仿宋"/>
          <w:sz w:val="36"/>
          <w:szCs w:val="36"/>
        </w:rPr>
        <w:t>坚持不懈地开展廉洁建设和反腐败斗争，严格落实</w:t>
      </w:r>
      <w:bookmarkStart w:id="0" w:name="_GoBack"/>
      <w:bookmarkEnd w:id="0"/>
      <w:r>
        <w:rPr>
          <w:rFonts w:hint="eastAsia" w:ascii="仿宋" w:hAnsi="仿宋" w:eastAsia="仿宋"/>
          <w:sz w:val="36"/>
          <w:szCs w:val="36"/>
        </w:rPr>
        <w:t>党风廉</w:t>
      </w:r>
      <w:r>
        <w:rPr>
          <w:rFonts w:hint="eastAsia" w:ascii="仿宋" w:hAnsi="仿宋" w:eastAsia="仿宋"/>
          <w:sz w:val="36"/>
          <w:szCs w:val="36"/>
          <w:lang w:val="en-US" w:eastAsia="zh-CN"/>
        </w:rPr>
        <w:t>政</w:t>
      </w:r>
      <w:r>
        <w:rPr>
          <w:rFonts w:hint="eastAsia" w:ascii="仿宋" w:hAnsi="仿宋" w:eastAsia="仿宋"/>
          <w:sz w:val="36"/>
          <w:szCs w:val="36"/>
        </w:rPr>
        <w:t>建设“两个责任”，自觉践行“三严三实”，扎实开展“两学一做”，认真执行《廉政准则》和《问责条例》等党纪法规，做到干部清正、政府清廉、政治清明。弘扬勤俭节约，反对奢侈浪费，严格控制“三公”经费支出，认真实行“全口径”预算，严格规范财政和投资预算约束，以低廉的行政成本实现高效的公共服务。强化权力运行监督，加大国有资产、工程建设、土地出让、政府采购和招投标等重点领域、关键环节的监督力度。支持纪检监察机关严肃查处违纪违规行为，坚守廉洁底线，保持风清气正。</w:t>
      </w:r>
    </w:p>
    <w:p>
      <w:pPr>
        <w:spacing w:after="0" w:line="620" w:lineRule="exact"/>
        <w:ind w:firstLine="720" w:firstLineChars="200"/>
        <w:jc w:val="both"/>
        <w:rPr>
          <w:rFonts w:ascii="仿宋" w:hAnsi="仿宋" w:eastAsia="仿宋"/>
          <w:sz w:val="36"/>
          <w:szCs w:val="36"/>
        </w:rPr>
      </w:pPr>
      <w:r>
        <w:rPr>
          <w:rFonts w:hint="eastAsia" w:ascii="仿宋" w:hAnsi="仿宋" w:eastAsia="仿宋"/>
          <w:sz w:val="36"/>
          <w:szCs w:val="36"/>
        </w:rPr>
        <w:t>各位代表，同志们！梦想点燃激情，实干成就未来。让我们在区委的坚强领导下、在区人大、区政协的监督支持下，牢记人民嘱托，不辱时代使命，同心协力，开拓奋进，为“打造洞庭生态明珠，建设现代滨江新区”而努力奋斗！</w:t>
      </w:r>
    </w:p>
    <w:p>
      <w:pPr>
        <w:widowControl w:val="0"/>
        <w:spacing w:after="0" w:line="600" w:lineRule="exact"/>
        <w:rPr>
          <w:rFonts w:ascii="宋体" w:hAnsi="宋体" w:eastAsia="宋体"/>
          <w:sz w:val="32"/>
          <w:szCs w:val="32"/>
        </w:rPr>
      </w:pPr>
    </w:p>
    <w:p>
      <w:pPr>
        <w:widowControl w:val="0"/>
        <w:spacing w:after="0" w:line="600" w:lineRule="exact"/>
        <w:rPr>
          <w:rFonts w:ascii="宋体" w:hAnsi="宋体" w:eastAsia="宋体"/>
          <w:sz w:val="32"/>
          <w:szCs w:val="32"/>
        </w:rPr>
      </w:pPr>
    </w:p>
    <w:p>
      <w:pPr>
        <w:widowControl w:val="0"/>
        <w:spacing w:after="0" w:line="600" w:lineRule="exact"/>
        <w:rPr>
          <w:rFonts w:ascii="宋体" w:hAnsi="宋体" w:eastAsia="宋体"/>
          <w:sz w:val="32"/>
          <w:szCs w:val="32"/>
        </w:rPr>
      </w:pPr>
    </w:p>
    <w:p>
      <w:pPr>
        <w:widowControl w:val="0"/>
        <w:spacing w:after="0" w:line="600" w:lineRule="exact"/>
        <w:rPr>
          <w:rFonts w:ascii="宋体" w:hAnsi="宋体" w:eastAsia="宋体"/>
          <w:sz w:val="32"/>
          <w:szCs w:val="32"/>
        </w:rPr>
      </w:pPr>
    </w:p>
    <w:p>
      <w:pPr>
        <w:widowControl w:val="0"/>
        <w:spacing w:after="0" w:line="600" w:lineRule="exact"/>
        <w:rPr>
          <w:rFonts w:ascii="宋体" w:hAnsi="宋体" w:eastAsia="宋体"/>
          <w:sz w:val="32"/>
          <w:szCs w:val="32"/>
        </w:rPr>
      </w:pPr>
    </w:p>
    <w:p>
      <w:pPr>
        <w:widowControl w:val="0"/>
        <w:spacing w:after="0" w:line="600" w:lineRule="exact"/>
        <w:rPr>
          <w:rFonts w:ascii="宋体" w:hAnsi="宋体" w:eastAsia="宋体"/>
          <w:sz w:val="32"/>
          <w:szCs w:val="32"/>
        </w:rPr>
      </w:pPr>
    </w:p>
    <w:p>
      <w:pPr>
        <w:widowControl w:val="0"/>
        <w:spacing w:after="0" w:line="600" w:lineRule="exact"/>
        <w:rPr>
          <w:rFonts w:ascii="宋体" w:hAnsi="宋体" w:eastAsia="宋体"/>
          <w:sz w:val="32"/>
          <w:szCs w:val="32"/>
        </w:rPr>
      </w:pPr>
    </w:p>
    <w:p>
      <w:pPr>
        <w:widowControl w:val="0"/>
        <w:spacing w:after="0" w:line="600" w:lineRule="exact"/>
        <w:rPr>
          <w:rFonts w:ascii="宋体" w:hAnsi="宋体" w:eastAsia="宋体"/>
          <w:sz w:val="32"/>
          <w:szCs w:val="32"/>
        </w:rPr>
      </w:pPr>
    </w:p>
    <w:p>
      <w:pPr>
        <w:widowControl w:val="0"/>
        <w:spacing w:after="0" w:line="600" w:lineRule="exact"/>
        <w:rPr>
          <w:rFonts w:ascii="宋体" w:hAnsi="宋体" w:eastAsia="宋体"/>
          <w:sz w:val="32"/>
          <w:szCs w:val="32"/>
        </w:rPr>
      </w:pPr>
    </w:p>
    <w:p>
      <w:pPr>
        <w:widowControl w:val="0"/>
        <w:spacing w:after="0" w:line="600" w:lineRule="exact"/>
        <w:rPr>
          <w:rFonts w:ascii="宋体" w:hAnsi="宋体" w:eastAsia="宋体"/>
          <w:b/>
          <w:sz w:val="32"/>
          <w:szCs w:val="32"/>
        </w:rPr>
      </w:pPr>
      <w:r>
        <w:rPr>
          <w:rFonts w:ascii="宋体" w:hAnsi="宋体" w:eastAsia="宋体"/>
          <w:sz w:val="32"/>
          <w:szCs w:val="32"/>
        </w:rPr>
        <w:t>附件：</w:t>
      </w:r>
    </w:p>
    <w:p>
      <w:pPr>
        <w:widowControl w:val="0"/>
        <w:spacing w:after="0" w:line="600" w:lineRule="exact"/>
        <w:jc w:val="center"/>
        <w:rPr>
          <w:rFonts w:ascii="黑体" w:eastAsia="黑体"/>
          <w:sz w:val="32"/>
          <w:szCs w:val="32"/>
        </w:rPr>
      </w:pPr>
      <w:r>
        <w:rPr>
          <w:rFonts w:ascii="黑体" w:eastAsia="黑体"/>
          <w:sz w:val="32"/>
          <w:szCs w:val="32"/>
        </w:rPr>
        <w:t>注    释</w:t>
      </w:r>
    </w:p>
    <w:p>
      <w:pPr>
        <w:widowControl w:val="0"/>
        <w:spacing w:after="0" w:line="600" w:lineRule="exact"/>
        <w:ind w:firstLine="590" w:firstLineChars="196"/>
        <w:rPr>
          <w:rFonts w:ascii="楷体_GB2312" w:eastAsia="楷体_GB2312"/>
          <w:b/>
          <w:sz w:val="30"/>
          <w:szCs w:val="30"/>
        </w:rPr>
      </w:pPr>
    </w:p>
    <w:p>
      <w:pPr>
        <w:widowControl w:val="0"/>
        <w:spacing w:after="0" w:line="600" w:lineRule="exact"/>
        <w:ind w:firstLine="590" w:firstLineChars="196"/>
        <w:jc w:val="both"/>
        <w:rPr>
          <w:rFonts w:ascii="楷体_GB2312" w:eastAsia="楷体_GB2312"/>
          <w:sz w:val="30"/>
          <w:szCs w:val="30"/>
        </w:rPr>
      </w:pPr>
      <w:r>
        <w:rPr>
          <w:rFonts w:hint="eastAsia" w:ascii="楷体_GB2312" w:eastAsia="楷体_GB2312"/>
          <w:b/>
          <w:sz w:val="30"/>
          <w:szCs w:val="30"/>
        </w:rPr>
        <w:t>1.</w:t>
      </w:r>
      <w:r>
        <w:rPr>
          <w:rFonts w:hint="eastAsia" w:ascii="楷体_GB2312" w:hAnsi="宋体" w:eastAsia="楷体_GB2312"/>
          <w:b/>
          <w:sz w:val="30"/>
          <w:szCs w:val="30"/>
        </w:rPr>
        <w:t>三品一标：</w:t>
      </w:r>
      <w:r>
        <w:rPr>
          <w:rFonts w:hint="eastAsia" w:ascii="楷体_GB2312" w:eastAsia="楷体_GB2312"/>
          <w:sz w:val="30"/>
          <w:szCs w:val="30"/>
        </w:rPr>
        <w:t>是指无公害农产品、绿色食品、有机食品、农产品地理标志。</w:t>
      </w:r>
    </w:p>
    <w:p>
      <w:pPr>
        <w:widowControl w:val="0"/>
        <w:spacing w:after="0" w:line="600" w:lineRule="exact"/>
        <w:ind w:firstLine="590" w:firstLineChars="196"/>
        <w:jc w:val="both"/>
        <w:rPr>
          <w:rFonts w:ascii="楷体_GB2312" w:eastAsia="楷体_GB2312"/>
          <w:sz w:val="30"/>
          <w:szCs w:val="30"/>
        </w:rPr>
      </w:pPr>
      <w:r>
        <w:rPr>
          <w:rFonts w:hint="eastAsia" w:ascii="楷体_GB2312" w:hAnsi="宋体" w:eastAsia="楷体_GB2312"/>
          <w:b/>
          <w:sz w:val="30"/>
          <w:szCs w:val="30"/>
        </w:rPr>
        <w:t>2.两路两桥：</w:t>
      </w:r>
      <w:r>
        <w:rPr>
          <w:rFonts w:hint="eastAsia" w:ascii="楷体_GB2312" w:eastAsia="楷体_GB2312"/>
          <w:sz w:val="30"/>
          <w:szCs w:val="30"/>
        </w:rPr>
        <w:t>是指临岳高速公路、蒙华铁路和临岳高速公路洞庭湖大桥、蒙华铁路洞庭湖特大桥。</w:t>
      </w:r>
    </w:p>
    <w:p>
      <w:pPr>
        <w:widowControl w:val="0"/>
        <w:spacing w:after="0" w:line="600" w:lineRule="exact"/>
        <w:ind w:firstLine="590" w:firstLineChars="196"/>
        <w:jc w:val="both"/>
        <w:rPr>
          <w:rFonts w:ascii="楷体_GB2312" w:eastAsia="楷体_GB2312"/>
          <w:sz w:val="30"/>
          <w:szCs w:val="30"/>
        </w:rPr>
      </w:pPr>
      <w:r>
        <w:rPr>
          <w:rFonts w:hint="eastAsia" w:ascii="楷体_GB2312" w:hAnsi="宋体" w:eastAsia="楷体_GB2312"/>
          <w:b/>
          <w:sz w:val="30"/>
          <w:szCs w:val="30"/>
        </w:rPr>
        <w:t>3.两项督导评估：</w:t>
      </w:r>
      <w:r>
        <w:rPr>
          <w:rFonts w:hint="eastAsia" w:ascii="楷体_GB2312" w:eastAsia="楷体_GB2312"/>
          <w:sz w:val="30"/>
          <w:szCs w:val="30"/>
        </w:rPr>
        <w:t>是指县级政府教育工作督导评估和县级党政主要领导干部教育实绩督导考核。</w:t>
      </w:r>
    </w:p>
    <w:p>
      <w:pPr>
        <w:widowControl w:val="0"/>
        <w:spacing w:after="0" w:line="600" w:lineRule="exact"/>
        <w:ind w:firstLine="590" w:firstLineChars="196"/>
        <w:jc w:val="both"/>
        <w:rPr>
          <w:rFonts w:ascii="楷体_GB2312" w:eastAsia="楷体_GB2312"/>
          <w:sz w:val="30"/>
          <w:szCs w:val="30"/>
        </w:rPr>
      </w:pPr>
      <w:r>
        <w:rPr>
          <w:rFonts w:hint="eastAsia" w:ascii="楷体_GB2312" w:hAnsi="宋体" w:eastAsia="楷体_GB2312"/>
          <w:b/>
          <w:sz w:val="30"/>
          <w:szCs w:val="30"/>
        </w:rPr>
        <w:t>4.三无县：</w:t>
      </w:r>
      <w:r>
        <w:rPr>
          <w:rFonts w:hint="eastAsia" w:ascii="楷体_GB2312" w:eastAsia="楷体_GB2312"/>
          <w:sz w:val="30"/>
          <w:szCs w:val="30"/>
        </w:rPr>
        <w:t>是指无进京非正常上访、无越级集体上访、无极端恶性和群体性事件的县市区。</w:t>
      </w:r>
    </w:p>
    <w:p>
      <w:pPr>
        <w:widowControl w:val="0"/>
        <w:spacing w:after="0" w:line="600" w:lineRule="exact"/>
        <w:ind w:firstLine="590" w:firstLineChars="196"/>
        <w:jc w:val="both"/>
        <w:rPr>
          <w:rFonts w:ascii="楷体_GB2312" w:eastAsia="楷体_GB2312"/>
          <w:sz w:val="30"/>
          <w:szCs w:val="30"/>
        </w:rPr>
      </w:pPr>
      <w:r>
        <w:rPr>
          <w:rFonts w:hint="eastAsia" w:ascii="楷体_GB2312" w:hAnsi="宋体" w:eastAsia="楷体_GB2312"/>
          <w:b/>
          <w:sz w:val="30"/>
          <w:szCs w:val="30"/>
        </w:rPr>
        <w:t>5.三严三实：</w:t>
      </w:r>
      <w:r>
        <w:rPr>
          <w:rFonts w:hint="eastAsia" w:ascii="楷体_GB2312" w:eastAsia="楷体_GB2312"/>
          <w:sz w:val="30"/>
          <w:szCs w:val="30"/>
        </w:rPr>
        <w:t>指严以修身、严以用权、严以律己；谋事要实、创业要实、做人要实。</w:t>
      </w:r>
    </w:p>
    <w:p>
      <w:pPr>
        <w:widowControl w:val="0"/>
        <w:spacing w:after="0" w:line="600" w:lineRule="exact"/>
        <w:ind w:firstLine="590" w:firstLineChars="196"/>
        <w:jc w:val="both"/>
        <w:rPr>
          <w:rFonts w:ascii="楷体_GB2312" w:eastAsia="楷体_GB2312"/>
          <w:sz w:val="30"/>
          <w:szCs w:val="30"/>
        </w:rPr>
      </w:pPr>
      <w:r>
        <w:rPr>
          <w:rFonts w:hint="eastAsia" w:ascii="楷体_GB2312" w:hAnsi="宋体" w:eastAsia="楷体_GB2312"/>
          <w:b/>
          <w:sz w:val="30"/>
          <w:szCs w:val="30"/>
        </w:rPr>
        <w:t>6.两学一做：</w:t>
      </w:r>
      <w:r>
        <w:rPr>
          <w:rFonts w:hint="eastAsia" w:ascii="楷体_GB2312" w:eastAsia="楷体_GB2312"/>
          <w:sz w:val="30"/>
          <w:szCs w:val="30"/>
        </w:rPr>
        <w:t>是指学习</w:t>
      </w:r>
      <w:r>
        <w:rPr>
          <w:rFonts w:hint="eastAsia" w:ascii="楷体_GB2312" w:eastAsia="楷体_GB2312"/>
          <w:sz w:val="30"/>
          <w:szCs w:val="30"/>
          <w:lang w:val="en-US" w:eastAsia="zh-CN"/>
        </w:rPr>
        <w:t>中国</w:t>
      </w:r>
      <w:r>
        <w:rPr>
          <w:rFonts w:hint="eastAsia" w:ascii="楷体_GB2312" w:eastAsia="楷体_GB2312"/>
          <w:sz w:val="30"/>
          <w:szCs w:val="30"/>
        </w:rPr>
        <w:t>共产党</w:t>
      </w:r>
      <w:r>
        <w:rPr>
          <w:rFonts w:hint="eastAsia" w:ascii="楷体_GB2312" w:eastAsia="楷体_GB2312"/>
          <w:sz w:val="30"/>
          <w:szCs w:val="30"/>
          <w:lang w:val="en-US" w:eastAsia="zh-CN"/>
        </w:rPr>
        <w:t>章程</w:t>
      </w:r>
      <w:r>
        <w:rPr>
          <w:rFonts w:hint="eastAsia" w:ascii="楷体_GB2312" w:eastAsia="楷体_GB2312"/>
          <w:sz w:val="30"/>
          <w:szCs w:val="30"/>
        </w:rPr>
        <w:t>，学习贯彻习近平总书记系列重要讲话精神，做合格党员。</w:t>
      </w:r>
    </w:p>
    <w:p>
      <w:pPr>
        <w:widowControl w:val="0"/>
        <w:spacing w:after="0" w:line="600" w:lineRule="exact"/>
        <w:ind w:firstLine="590" w:firstLineChars="196"/>
        <w:jc w:val="both"/>
        <w:rPr>
          <w:rFonts w:ascii="楷体_GB2312" w:eastAsia="楷体_GB2312"/>
          <w:sz w:val="30"/>
          <w:szCs w:val="30"/>
        </w:rPr>
      </w:pPr>
      <w:r>
        <w:rPr>
          <w:rFonts w:hint="eastAsia" w:ascii="楷体_GB2312" w:hAnsi="宋体" w:eastAsia="楷体_GB2312"/>
          <w:b/>
          <w:sz w:val="30"/>
          <w:szCs w:val="30"/>
        </w:rPr>
        <w:t>7.四个全面：</w:t>
      </w:r>
      <w:r>
        <w:rPr>
          <w:rFonts w:hint="eastAsia" w:ascii="楷体_GB2312" w:eastAsia="楷体_GB2312"/>
          <w:sz w:val="30"/>
          <w:szCs w:val="30"/>
        </w:rPr>
        <w:t>即“全面建成小康社会、全面深化改革、全面依法治国、全面从严治党”。</w:t>
      </w:r>
    </w:p>
    <w:p>
      <w:pPr>
        <w:widowControl w:val="0"/>
        <w:spacing w:after="0" w:line="600" w:lineRule="exact"/>
        <w:ind w:firstLine="590" w:firstLineChars="196"/>
        <w:jc w:val="both"/>
        <w:rPr>
          <w:rFonts w:ascii="楷体_GB2312" w:eastAsia="楷体_GB2312"/>
          <w:sz w:val="30"/>
          <w:szCs w:val="30"/>
        </w:rPr>
      </w:pPr>
      <w:r>
        <w:rPr>
          <w:rFonts w:hint="eastAsia" w:ascii="楷体_GB2312" w:hAnsi="宋体" w:eastAsia="楷体_GB2312"/>
          <w:b/>
          <w:sz w:val="30"/>
          <w:szCs w:val="30"/>
        </w:rPr>
        <w:t>8.五大发展理念：</w:t>
      </w:r>
      <w:r>
        <w:rPr>
          <w:rFonts w:hint="eastAsia" w:ascii="楷体_GB2312" w:eastAsia="楷体_GB2312"/>
          <w:sz w:val="30"/>
          <w:szCs w:val="30"/>
        </w:rPr>
        <w:t>是指创新、协调、绿色、开放、共享发展理念。</w:t>
      </w:r>
    </w:p>
    <w:p>
      <w:pPr>
        <w:widowControl w:val="0"/>
        <w:spacing w:after="0" w:line="600" w:lineRule="exact"/>
        <w:ind w:firstLine="590" w:firstLineChars="196"/>
        <w:jc w:val="both"/>
        <w:rPr>
          <w:rFonts w:ascii="楷体_GB2312" w:eastAsia="楷体_GB2312"/>
          <w:sz w:val="30"/>
          <w:szCs w:val="30"/>
        </w:rPr>
      </w:pPr>
      <w:r>
        <w:rPr>
          <w:rFonts w:hint="eastAsia" w:ascii="楷体_GB2312" w:hAnsi="宋体" w:eastAsia="楷体_GB2312"/>
          <w:b/>
          <w:sz w:val="30"/>
          <w:szCs w:val="30"/>
        </w:rPr>
        <w:t>9.一极三宜：</w:t>
      </w:r>
      <w:r>
        <w:rPr>
          <w:rFonts w:hint="eastAsia" w:ascii="楷体_GB2312" w:eastAsia="楷体_GB2312"/>
          <w:sz w:val="30"/>
          <w:szCs w:val="30"/>
        </w:rPr>
        <w:t>即湖南发展新增长极，宜居：山清水秀、生活便利、平安有序、文明和谐的可以深呼吸岳阳；宜业：就业机会多、创业环境好、产业发展旺、创新能力强的创新创业高地；宜游：要素完备、人气兴旺、独具魅力、流连忘返的旅游目的地。</w:t>
      </w:r>
    </w:p>
    <w:p>
      <w:pPr>
        <w:widowControl w:val="0"/>
        <w:spacing w:after="0" w:line="600" w:lineRule="exact"/>
        <w:ind w:firstLine="590" w:firstLineChars="196"/>
        <w:jc w:val="both"/>
        <w:rPr>
          <w:rFonts w:ascii="楷体_GB2312" w:eastAsia="楷体_GB2312"/>
          <w:sz w:val="30"/>
          <w:szCs w:val="30"/>
        </w:rPr>
      </w:pPr>
      <w:r>
        <w:rPr>
          <w:rFonts w:hint="eastAsia" w:ascii="楷体_GB2312" w:hAnsi="宋体" w:eastAsia="楷体_GB2312"/>
          <w:b/>
          <w:sz w:val="30"/>
          <w:szCs w:val="30"/>
        </w:rPr>
        <w:t>10.三网融合：</w:t>
      </w:r>
      <w:r>
        <w:rPr>
          <w:rFonts w:hint="eastAsia" w:ascii="楷体_GB2312" w:eastAsia="楷体_GB2312"/>
          <w:sz w:val="30"/>
          <w:szCs w:val="30"/>
        </w:rPr>
        <w:t>是指广播电视网、电信网与互联网的融合。</w:t>
      </w:r>
    </w:p>
    <w:p>
      <w:pPr>
        <w:widowControl w:val="0"/>
        <w:spacing w:after="0" w:line="600" w:lineRule="exact"/>
        <w:ind w:firstLine="590" w:firstLineChars="196"/>
        <w:jc w:val="both"/>
        <w:rPr>
          <w:rFonts w:ascii="楷体_GB2312" w:eastAsia="楷体_GB2312"/>
          <w:sz w:val="30"/>
          <w:szCs w:val="30"/>
        </w:rPr>
      </w:pPr>
      <w:r>
        <w:rPr>
          <w:rFonts w:hint="eastAsia" w:ascii="楷体_GB2312" w:hAnsi="宋体" w:eastAsia="楷体_GB2312"/>
          <w:b/>
          <w:sz w:val="30"/>
          <w:szCs w:val="30"/>
        </w:rPr>
        <w:t>11.园区十条：</w:t>
      </w:r>
      <w:r>
        <w:rPr>
          <w:rFonts w:hint="eastAsia" w:ascii="楷体_GB2312" w:eastAsia="楷体_GB2312"/>
          <w:sz w:val="30"/>
          <w:szCs w:val="30"/>
        </w:rPr>
        <w:t>是指《关于进一步促进产业园区发展的意见（试行）》（岳办发〔2015〕39号）文件中确定的扶助工业园区建设发展的十条政策意见。</w:t>
      </w:r>
    </w:p>
    <w:p>
      <w:pPr>
        <w:widowControl w:val="0"/>
        <w:spacing w:after="0" w:line="600" w:lineRule="exact"/>
        <w:ind w:firstLine="590" w:firstLineChars="196"/>
        <w:jc w:val="both"/>
        <w:rPr>
          <w:rFonts w:ascii="楷体_GB2312" w:eastAsia="楷体_GB2312"/>
          <w:sz w:val="30"/>
          <w:szCs w:val="30"/>
        </w:rPr>
      </w:pPr>
      <w:r>
        <w:rPr>
          <w:rFonts w:hint="eastAsia" w:ascii="楷体_GB2312" w:hAnsi="宋体" w:eastAsia="楷体_GB2312"/>
          <w:b/>
          <w:sz w:val="30"/>
          <w:szCs w:val="30"/>
        </w:rPr>
        <w:t>12.</w:t>
      </w:r>
      <w:r>
        <w:rPr>
          <w:rFonts w:ascii="楷体_GB2312" w:hAnsi="宋体" w:eastAsia="楷体_GB2312"/>
          <w:b/>
          <w:sz w:val="30"/>
          <w:szCs w:val="30"/>
        </w:rPr>
        <w:t>多规合一</w:t>
      </w:r>
      <w:r>
        <w:rPr>
          <w:rFonts w:hint="eastAsia" w:ascii="楷体_GB2312" w:hAnsi="宋体" w:eastAsia="楷体_GB2312"/>
          <w:b/>
          <w:sz w:val="30"/>
          <w:szCs w:val="30"/>
        </w:rPr>
        <w:t>：</w:t>
      </w:r>
      <w:r>
        <w:rPr>
          <w:rFonts w:ascii="楷体_GB2312" w:eastAsia="楷体_GB2312"/>
          <w:sz w:val="30"/>
          <w:szCs w:val="30"/>
        </w:rPr>
        <w:t>是指</w:t>
      </w:r>
      <w:r>
        <w:rPr>
          <w:rFonts w:hint="eastAsia" w:ascii="楷体_GB2312" w:eastAsia="楷体_GB2312"/>
          <w:sz w:val="30"/>
          <w:szCs w:val="30"/>
        </w:rPr>
        <w:t>将</w:t>
      </w:r>
      <w:r>
        <w:rPr>
          <w:rFonts w:ascii="楷体_GB2312" w:eastAsia="楷体_GB2312"/>
          <w:sz w:val="30"/>
          <w:szCs w:val="30"/>
        </w:rPr>
        <w:t>国民经济和社会发展规划</w:t>
      </w:r>
      <w:r>
        <w:rPr>
          <w:rFonts w:hint="eastAsia" w:ascii="楷体_GB2312" w:eastAsia="楷体_GB2312"/>
          <w:sz w:val="30"/>
          <w:szCs w:val="30"/>
        </w:rPr>
        <w:t>、</w:t>
      </w:r>
      <w:r>
        <w:rPr>
          <w:rFonts w:ascii="楷体_GB2312" w:eastAsia="楷体_GB2312"/>
          <w:sz w:val="30"/>
          <w:szCs w:val="30"/>
        </w:rPr>
        <w:t>城乡</w:t>
      </w:r>
      <w:r>
        <w:rPr>
          <w:rFonts w:hint="eastAsia" w:ascii="楷体_GB2312" w:eastAsia="楷体_GB2312"/>
          <w:sz w:val="30"/>
          <w:szCs w:val="30"/>
        </w:rPr>
        <w:t>规划</w:t>
      </w:r>
      <w:r>
        <w:rPr>
          <w:rFonts w:ascii="楷体_GB2312" w:eastAsia="楷体_GB2312"/>
          <w:sz w:val="30"/>
          <w:szCs w:val="30"/>
        </w:rPr>
        <w:t>、土地利用</w:t>
      </w:r>
      <w:r>
        <w:rPr>
          <w:rFonts w:hint="eastAsia" w:ascii="楷体_GB2312" w:eastAsia="楷体_GB2312"/>
          <w:sz w:val="30"/>
          <w:szCs w:val="30"/>
        </w:rPr>
        <w:t>规划</w:t>
      </w:r>
      <w:r>
        <w:rPr>
          <w:rFonts w:ascii="楷体_GB2312" w:eastAsia="楷体_GB2312"/>
          <w:sz w:val="30"/>
          <w:szCs w:val="30"/>
        </w:rPr>
        <w:t>、环境保护</w:t>
      </w:r>
      <w:r>
        <w:rPr>
          <w:rFonts w:hint="eastAsia" w:ascii="楷体_GB2312" w:eastAsia="楷体_GB2312"/>
          <w:sz w:val="30"/>
          <w:szCs w:val="30"/>
        </w:rPr>
        <w:t>规划等多个规划融合到一个区域上，实现一个市县一本规划、一张蓝图，解决现有各类规划自成体系、内容冲突、缺乏衔接等问题。</w:t>
      </w:r>
    </w:p>
    <w:p>
      <w:pPr>
        <w:widowControl w:val="0"/>
        <w:spacing w:after="0" w:line="600" w:lineRule="exact"/>
        <w:ind w:firstLine="590" w:firstLineChars="196"/>
        <w:jc w:val="both"/>
        <w:rPr>
          <w:rFonts w:ascii="楷体_GB2312" w:hAnsi="宋体" w:eastAsia="楷体_GB2312"/>
          <w:b/>
          <w:sz w:val="30"/>
          <w:szCs w:val="30"/>
        </w:rPr>
      </w:pPr>
      <w:r>
        <w:rPr>
          <w:rFonts w:hint="eastAsia" w:ascii="楷体_GB2312" w:hAnsi="宋体" w:eastAsia="楷体_GB2312"/>
          <w:b/>
          <w:sz w:val="30"/>
          <w:szCs w:val="30"/>
        </w:rPr>
        <w:t>13.三留守：</w:t>
      </w:r>
      <w:r>
        <w:rPr>
          <w:rFonts w:hint="eastAsia" w:ascii="楷体_GB2312" w:eastAsia="楷体_GB2312"/>
          <w:sz w:val="30"/>
          <w:szCs w:val="30"/>
        </w:rPr>
        <w:t>是指留守妇女、留守儿童、留守老人。</w:t>
      </w:r>
    </w:p>
    <w:p>
      <w:pPr>
        <w:widowControl w:val="0"/>
        <w:spacing w:after="0" w:line="600" w:lineRule="exact"/>
        <w:ind w:firstLine="590" w:firstLineChars="196"/>
        <w:jc w:val="both"/>
        <w:rPr>
          <w:rFonts w:ascii="楷体_GB2312" w:eastAsia="楷体_GB2312"/>
          <w:sz w:val="30"/>
          <w:szCs w:val="30"/>
        </w:rPr>
      </w:pPr>
      <w:r>
        <w:rPr>
          <w:rFonts w:hint="eastAsia" w:ascii="楷体_GB2312" w:hAnsi="宋体" w:eastAsia="楷体_GB2312"/>
          <w:b/>
          <w:sz w:val="30"/>
          <w:szCs w:val="30"/>
        </w:rPr>
        <w:t>14.空心村：</w:t>
      </w:r>
      <w:r>
        <w:rPr>
          <w:rFonts w:hint="eastAsia" w:ascii="楷体_GB2312" w:eastAsia="楷体_GB2312"/>
          <w:sz w:val="30"/>
          <w:szCs w:val="30"/>
        </w:rPr>
        <w:t>是指大量的农村青壮年都涌入城市打工，使得留在农村的人口都是老弱病残的现象。</w:t>
      </w:r>
    </w:p>
    <w:p>
      <w:pPr>
        <w:widowControl w:val="0"/>
        <w:spacing w:after="0" w:line="600" w:lineRule="exact"/>
        <w:ind w:firstLine="590" w:firstLineChars="196"/>
        <w:jc w:val="both"/>
        <w:rPr>
          <w:rFonts w:ascii="楷体_GB2312" w:eastAsia="楷体_GB2312"/>
          <w:sz w:val="30"/>
          <w:szCs w:val="30"/>
        </w:rPr>
      </w:pPr>
      <w:r>
        <w:rPr>
          <w:rFonts w:hint="eastAsia" w:ascii="楷体_GB2312" w:hAnsi="宋体" w:eastAsia="楷体_GB2312"/>
          <w:b/>
          <w:sz w:val="30"/>
          <w:szCs w:val="30"/>
        </w:rPr>
        <w:t>15.三调联动：</w:t>
      </w:r>
      <w:r>
        <w:rPr>
          <w:rFonts w:hint="eastAsia" w:ascii="楷体_GB2312" w:eastAsia="楷体_GB2312"/>
          <w:sz w:val="30"/>
          <w:szCs w:val="30"/>
        </w:rPr>
        <w:t>是指人民调解、行政调解、司法调解相结合。</w:t>
      </w:r>
    </w:p>
    <w:p>
      <w:pPr>
        <w:widowControl w:val="0"/>
        <w:spacing w:after="0" w:line="600" w:lineRule="exact"/>
        <w:ind w:firstLine="590" w:firstLineChars="196"/>
        <w:jc w:val="both"/>
        <w:rPr>
          <w:rFonts w:ascii="楷体_GB2312" w:eastAsia="楷体_GB2312"/>
          <w:sz w:val="30"/>
          <w:szCs w:val="30"/>
        </w:rPr>
      </w:pPr>
      <w:r>
        <w:rPr>
          <w:rFonts w:hint="eastAsia" w:ascii="楷体_GB2312" w:hAnsi="宋体" w:eastAsia="楷体_GB2312"/>
          <w:b/>
          <w:sz w:val="30"/>
          <w:szCs w:val="30"/>
        </w:rPr>
        <w:t>16.天网工程：</w:t>
      </w:r>
      <w:r>
        <w:rPr>
          <w:rFonts w:hint="eastAsia" w:ascii="楷体_GB2312" w:eastAsia="楷体_GB2312"/>
          <w:sz w:val="30"/>
          <w:szCs w:val="30"/>
        </w:rPr>
        <w:t>即城区电子监控系统。</w:t>
      </w:r>
    </w:p>
    <w:p>
      <w:pPr>
        <w:widowControl w:val="0"/>
        <w:spacing w:after="0" w:line="600" w:lineRule="exact"/>
        <w:ind w:firstLine="590" w:firstLineChars="196"/>
        <w:jc w:val="both"/>
        <w:rPr>
          <w:rFonts w:ascii="楷体_GB2312" w:eastAsia="楷体_GB2312"/>
          <w:sz w:val="30"/>
          <w:szCs w:val="30"/>
        </w:rPr>
      </w:pPr>
      <w:r>
        <w:rPr>
          <w:rFonts w:hint="eastAsia" w:ascii="楷体_GB2312" w:hAnsi="宋体" w:eastAsia="楷体_GB2312"/>
          <w:b/>
          <w:sz w:val="30"/>
          <w:szCs w:val="30"/>
        </w:rPr>
        <w:t>17.四海揽才计划：</w:t>
      </w:r>
      <w:r>
        <w:rPr>
          <w:rFonts w:hint="eastAsia" w:ascii="楷体_GB2312" w:eastAsia="楷体_GB2312"/>
          <w:sz w:val="30"/>
          <w:szCs w:val="30"/>
        </w:rPr>
        <w:t>为进一步推进人才强区战略，积极落实市委“巴陵人才工程”，根据《岳阳市人力资源和社会保障局关于落实市委“四海揽才”计划招聘事业单位人才的若干办法（试行）》（岳人社发〔2016〕20号）精神，面向社会公开招聘中高端专业技术人才。</w:t>
      </w:r>
    </w:p>
    <w:p>
      <w:pPr>
        <w:widowControl w:val="0"/>
        <w:spacing w:after="0" w:line="600" w:lineRule="exact"/>
        <w:ind w:firstLine="590" w:firstLineChars="196"/>
        <w:jc w:val="both"/>
        <w:rPr>
          <w:rFonts w:ascii="楷体_GB2312" w:eastAsia="楷体_GB2312"/>
          <w:sz w:val="30"/>
          <w:szCs w:val="30"/>
        </w:rPr>
      </w:pPr>
      <w:r>
        <w:rPr>
          <w:rFonts w:hint="eastAsia" w:ascii="楷体_GB2312" w:hAnsi="宋体" w:eastAsia="楷体_GB2312"/>
          <w:b/>
          <w:sz w:val="30"/>
          <w:szCs w:val="30"/>
        </w:rPr>
        <w:t>18.渔（农）光互补光伏发电项目：</w:t>
      </w:r>
      <w:r>
        <w:rPr>
          <w:rFonts w:hint="eastAsia" w:ascii="楷体_GB2312" w:eastAsia="楷体_GB2312"/>
          <w:sz w:val="30"/>
          <w:szCs w:val="30"/>
        </w:rPr>
        <w:t>是指将光伏与智慧渔业、农业高效有机结合，建成集光伏发电、农业种植、渔业养殖、旅游观光于一体的生态旅游农业光伏示范基地。</w:t>
      </w:r>
    </w:p>
    <w:p>
      <w:pPr>
        <w:widowControl w:val="0"/>
        <w:spacing w:after="0" w:line="600" w:lineRule="exact"/>
        <w:ind w:firstLine="590" w:firstLineChars="196"/>
        <w:jc w:val="both"/>
        <w:rPr>
          <w:rFonts w:ascii="楷体_GB2312" w:eastAsia="楷体_GB2312"/>
          <w:sz w:val="30"/>
          <w:szCs w:val="30"/>
        </w:rPr>
      </w:pPr>
      <w:r>
        <w:rPr>
          <w:rFonts w:hint="eastAsia" w:ascii="楷体_GB2312" w:hAnsi="宋体" w:eastAsia="楷体_GB2312"/>
          <w:b/>
          <w:sz w:val="30"/>
          <w:szCs w:val="30"/>
        </w:rPr>
        <w:t>19.LNG接收站：</w:t>
      </w:r>
      <w:r>
        <w:rPr>
          <w:rFonts w:hint="eastAsia" w:ascii="楷体_GB2312" w:eastAsia="楷体_GB2312"/>
          <w:sz w:val="30"/>
          <w:szCs w:val="30"/>
        </w:rPr>
        <w:t>即液化天然气接收站，是指储存液化天然气然后往外输送天然气的装置及场所。</w:t>
      </w:r>
    </w:p>
    <w:p>
      <w:pPr>
        <w:widowControl w:val="0"/>
        <w:spacing w:after="0" w:line="600" w:lineRule="exact"/>
        <w:ind w:firstLine="590" w:firstLineChars="196"/>
        <w:jc w:val="both"/>
        <w:rPr>
          <w:rFonts w:ascii="楷体_GB2312" w:eastAsia="楷体_GB2312"/>
          <w:sz w:val="30"/>
          <w:szCs w:val="30"/>
        </w:rPr>
      </w:pPr>
      <w:r>
        <w:rPr>
          <w:rFonts w:hint="eastAsia" w:ascii="楷体_GB2312" w:hAnsi="宋体" w:eastAsia="楷体_GB2312"/>
          <w:b/>
          <w:sz w:val="30"/>
          <w:szCs w:val="30"/>
        </w:rPr>
        <w:t>20.两不愁三保障：</w:t>
      </w:r>
      <w:r>
        <w:rPr>
          <w:rFonts w:hint="eastAsia" w:ascii="楷体_GB2312" w:eastAsia="楷体_GB2312"/>
          <w:sz w:val="30"/>
          <w:szCs w:val="30"/>
        </w:rPr>
        <w:t>是指不愁吃、不愁穿,义务教育、基本医疗和安全住房有保障。</w:t>
      </w:r>
    </w:p>
    <w:p>
      <w:pPr>
        <w:widowControl w:val="0"/>
        <w:spacing w:after="0" w:line="600" w:lineRule="exact"/>
        <w:ind w:firstLine="590" w:firstLineChars="196"/>
        <w:jc w:val="both"/>
        <w:rPr>
          <w:rFonts w:ascii="楷体_GB2312" w:eastAsia="楷体_GB2312"/>
          <w:sz w:val="30"/>
          <w:szCs w:val="30"/>
        </w:rPr>
      </w:pPr>
      <w:r>
        <w:rPr>
          <w:rFonts w:hint="eastAsia" w:ascii="楷体_GB2312" w:hAnsi="宋体" w:eastAsia="楷体_GB2312"/>
          <w:b/>
          <w:sz w:val="30"/>
          <w:szCs w:val="30"/>
        </w:rPr>
        <w:t>21.禁拆治违“三为主”工作责任：</w:t>
      </w:r>
      <w:r>
        <w:rPr>
          <w:rFonts w:hint="eastAsia" w:ascii="楷体_GB2312" w:eastAsia="楷体_GB2312"/>
          <w:sz w:val="30"/>
          <w:szCs w:val="30"/>
        </w:rPr>
        <w:t>指禁违村组为主、区镇连责，拆违区镇为主、村组连责，治违属地为主、部门连责的工作模式。</w:t>
      </w:r>
    </w:p>
    <w:p>
      <w:pPr>
        <w:widowControl w:val="0"/>
        <w:spacing w:after="0" w:line="600" w:lineRule="exact"/>
        <w:ind w:firstLine="590" w:firstLineChars="196"/>
        <w:jc w:val="both"/>
        <w:rPr>
          <w:rFonts w:ascii="楷体_GB2312" w:eastAsia="楷体_GB2312"/>
          <w:sz w:val="30"/>
          <w:szCs w:val="30"/>
        </w:rPr>
      </w:pPr>
      <w:r>
        <w:rPr>
          <w:rFonts w:hint="eastAsia" w:ascii="楷体_GB2312" w:hAnsi="宋体" w:eastAsia="楷体_GB2312"/>
          <w:b/>
          <w:sz w:val="30"/>
          <w:szCs w:val="30"/>
        </w:rPr>
        <w:t>22.禁拆治违“四级联动”工作机制：</w:t>
      </w:r>
      <w:r>
        <w:rPr>
          <w:rFonts w:hint="eastAsia" w:ascii="楷体_GB2312" w:eastAsia="楷体_GB2312"/>
          <w:sz w:val="30"/>
          <w:szCs w:val="30"/>
        </w:rPr>
        <w:t>指区、镇、村、组四级联动。</w:t>
      </w:r>
    </w:p>
    <w:p>
      <w:pPr>
        <w:widowControl w:val="0"/>
        <w:spacing w:after="0" w:line="600" w:lineRule="exact"/>
        <w:ind w:firstLine="590" w:firstLineChars="196"/>
        <w:jc w:val="both"/>
        <w:rPr>
          <w:rFonts w:ascii="楷体_GB2312" w:eastAsia="楷体_GB2312"/>
          <w:sz w:val="30"/>
          <w:szCs w:val="30"/>
        </w:rPr>
      </w:pPr>
      <w:r>
        <w:rPr>
          <w:rFonts w:hint="eastAsia" w:ascii="楷体_GB2312" w:hAnsi="宋体" w:eastAsia="楷体_GB2312"/>
          <w:b/>
          <w:sz w:val="30"/>
          <w:szCs w:val="30"/>
        </w:rPr>
        <w:t>23.五边：</w:t>
      </w:r>
      <w:r>
        <w:rPr>
          <w:rFonts w:hint="eastAsia" w:ascii="楷体_GB2312" w:eastAsia="楷体_GB2312"/>
          <w:sz w:val="30"/>
          <w:szCs w:val="30"/>
        </w:rPr>
        <w:t>指城边、路边、水边、村边、屋边。</w:t>
      </w:r>
    </w:p>
    <w:p>
      <w:pPr>
        <w:widowControl w:val="0"/>
        <w:spacing w:after="0" w:line="600" w:lineRule="exact"/>
        <w:ind w:firstLine="590" w:firstLineChars="196"/>
        <w:jc w:val="both"/>
        <w:rPr>
          <w:rFonts w:ascii="楷体_GB2312" w:eastAsia="楷体_GB2312"/>
          <w:sz w:val="30"/>
          <w:szCs w:val="30"/>
        </w:rPr>
      </w:pPr>
      <w:r>
        <w:rPr>
          <w:rFonts w:hint="eastAsia" w:ascii="楷体_GB2312" w:hAnsi="宋体" w:eastAsia="楷体_GB2312"/>
          <w:b/>
          <w:sz w:val="30"/>
          <w:szCs w:val="30"/>
        </w:rPr>
        <w:t>24.四好农村公路：</w:t>
      </w:r>
      <w:r>
        <w:rPr>
          <w:rFonts w:hint="eastAsia" w:ascii="楷体_GB2312" w:eastAsia="楷体_GB2312"/>
          <w:sz w:val="30"/>
          <w:szCs w:val="30"/>
        </w:rPr>
        <w:t>是指“建好、管好、护好、运营好”农村公路。</w:t>
      </w:r>
    </w:p>
    <w:p>
      <w:pPr>
        <w:widowControl w:val="0"/>
        <w:spacing w:after="0" w:line="600" w:lineRule="exact"/>
        <w:ind w:firstLine="590" w:firstLineChars="196"/>
        <w:jc w:val="both"/>
        <w:rPr>
          <w:rFonts w:ascii="楷体_GB2312" w:eastAsia="楷体_GB2312"/>
          <w:sz w:val="30"/>
          <w:szCs w:val="30"/>
        </w:rPr>
      </w:pPr>
      <w:r>
        <w:rPr>
          <w:rFonts w:hint="eastAsia" w:ascii="楷体_GB2312" w:hAnsi="宋体" w:eastAsia="楷体_GB2312"/>
          <w:b/>
          <w:sz w:val="30"/>
          <w:szCs w:val="30"/>
        </w:rPr>
        <w:t>25.三通两平台：</w:t>
      </w:r>
      <w:r>
        <w:rPr>
          <w:rFonts w:hint="eastAsia" w:ascii="楷体_GB2312" w:eastAsia="楷体_GB2312"/>
          <w:sz w:val="30"/>
          <w:szCs w:val="30"/>
        </w:rPr>
        <w:t>即“宽带网络校校通、优质资源班班通、网络学习空间人人通”，建设教育资源公共服务平台和教育管理公共服务平台。</w:t>
      </w:r>
    </w:p>
    <w:p>
      <w:pPr>
        <w:widowControl w:val="0"/>
        <w:spacing w:after="0" w:line="600" w:lineRule="exact"/>
        <w:ind w:firstLine="596" w:firstLineChars="198"/>
        <w:jc w:val="both"/>
        <w:rPr>
          <w:rFonts w:ascii="仿宋_GB2312" w:hAnsi="仿宋" w:eastAsia="仿宋_GB2312"/>
          <w:sz w:val="32"/>
          <w:szCs w:val="32"/>
        </w:rPr>
      </w:pPr>
      <w:r>
        <w:rPr>
          <w:rFonts w:hint="eastAsia" w:ascii="楷体_GB2312" w:hAnsi="宋体" w:eastAsia="楷体_GB2312"/>
          <w:b/>
          <w:sz w:val="30"/>
          <w:szCs w:val="30"/>
        </w:rPr>
        <w:t>26.两扶一免：</w:t>
      </w:r>
      <w:r>
        <w:rPr>
          <w:rFonts w:ascii="楷体_GB2312" w:eastAsia="楷体_GB2312"/>
          <w:sz w:val="30"/>
          <w:szCs w:val="30"/>
        </w:rPr>
        <w:t>是指计划生育奖励扶助政策，包括计划生育家庭奖励扶助、独生子女死亡伤残家庭扶助及出生缺陷干预免费检测制度。</w:t>
      </w:r>
    </w:p>
    <w:p>
      <w:pPr>
        <w:widowControl w:val="0"/>
        <w:spacing w:after="0" w:line="600" w:lineRule="exact"/>
        <w:ind w:firstLine="590" w:firstLineChars="196"/>
        <w:jc w:val="both"/>
        <w:rPr>
          <w:rFonts w:ascii="楷体_GB2312" w:eastAsia="楷体_GB2312"/>
          <w:sz w:val="30"/>
          <w:szCs w:val="30"/>
        </w:rPr>
      </w:pPr>
      <w:r>
        <w:rPr>
          <w:rFonts w:hint="eastAsia" w:ascii="楷体_GB2312" w:hAnsi="宋体" w:eastAsia="楷体_GB2312"/>
          <w:b/>
          <w:sz w:val="30"/>
          <w:szCs w:val="30"/>
        </w:rPr>
        <w:t>27.三清单一目录：</w:t>
      </w:r>
      <w:r>
        <w:rPr>
          <w:rFonts w:hint="eastAsia" w:ascii="楷体_GB2312" w:eastAsia="楷体_GB2312"/>
          <w:sz w:val="30"/>
          <w:szCs w:val="30"/>
        </w:rPr>
        <w:t>是指政府工作部门权力清单、责任清单、外商投资准入负面清单及省政府核准的投资项目目录。</w:t>
      </w:r>
    </w:p>
    <w:p>
      <w:pPr>
        <w:widowControl w:val="0"/>
        <w:spacing w:after="0" w:line="600" w:lineRule="exact"/>
        <w:ind w:firstLine="590" w:firstLineChars="196"/>
        <w:jc w:val="both"/>
        <w:rPr>
          <w:rFonts w:ascii="楷体_GB2312" w:eastAsia="楷体_GB2312"/>
          <w:sz w:val="30"/>
          <w:szCs w:val="30"/>
        </w:rPr>
      </w:pPr>
      <w:r>
        <w:rPr>
          <w:rFonts w:hint="eastAsia" w:ascii="楷体_GB2312" w:hAnsi="宋体" w:eastAsia="楷体_GB2312"/>
          <w:b/>
          <w:sz w:val="30"/>
          <w:szCs w:val="30"/>
        </w:rPr>
        <w:t>28.两集中、两到位：</w:t>
      </w:r>
      <w:r>
        <w:rPr>
          <w:rFonts w:hint="eastAsia" w:ascii="楷体_GB2312" w:eastAsia="楷体_GB2312"/>
          <w:sz w:val="30"/>
          <w:szCs w:val="30"/>
        </w:rPr>
        <w:t>是指审批事项向一个处室集中、行政审批处室向行政审批服务中心集中，保障进驻行政审批服务中心的审批事项到位、审批权限到位。</w:t>
      </w:r>
    </w:p>
    <w:p>
      <w:pPr>
        <w:widowControl w:val="0"/>
        <w:spacing w:after="0" w:line="600" w:lineRule="exact"/>
        <w:ind w:firstLine="590" w:firstLineChars="196"/>
        <w:jc w:val="both"/>
        <w:rPr>
          <w:rFonts w:ascii="楷体_GB2312" w:eastAsia="楷体_GB2312"/>
          <w:sz w:val="30"/>
          <w:szCs w:val="30"/>
        </w:rPr>
      </w:pPr>
      <w:r>
        <w:rPr>
          <w:rFonts w:hint="eastAsia" w:ascii="楷体_GB2312" w:hAnsi="宋体" w:eastAsia="楷体_GB2312"/>
          <w:b/>
          <w:sz w:val="30"/>
          <w:szCs w:val="30"/>
        </w:rPr>
        <w:t>29.两个责任：</w:t>
      </w:r>
      <w:r>
        <w:rPr>
          <w:rFonts w:hint="eastAsia" w:ascii="楷体_GB2312" w:eastAsia="楷体_GB2312"/>
          <w:sz w:val="30"/>
          <w:szCs w:val="30"/>
        </w:rPr>
        <w:t>是指在落实党风廉</w:t>
      </w:r>
      <w:r>
        <w:rPr>
          <w:rFonts w:hint="eastAsia" w:ascii="楷体_GB2312" w:eastAsia="楷体_GB2312"/>
          <w:sz w:val="30"/>
          <w:szCs w:val="30"/>
          <w:lang w:val="en-US" w:eastAsia="zh-CN"/>
        </w:rPr>
        <w:t>政</w:t>
      </w:r>
      <w:r>
        <w:rPr>
          <w:rFonts w:hint="eastAsia" w:ascii="楷体_GB2312" w:eastAsia="楷体_GB2312"/>
          <w:sz w:val="30"/>
          <w:szCs w:val="30"/>
        </w:rPr>
        <w:t xml:space="preserve">建设责任制过程中，“党委负主体责任，纪委负监督责任”。 </w:t>
      </w:r>
    </w:p>
    <w:p>
      <w:pPr>
        <w:widowControl w:val="0"/>
        <w:spacing w:after="0" w:line="600" w:lineRule="exact"/>
        <w:ind w:firstLine="590" w:firstLineChars="196"/>
        <w:jc w:val="both"/>
        <w:rPr>
          <w:rFonts w:ascii="楷体_GB2312" w:eastAsia="楷体_GB2312"/>
          <w:sz w:val="30"/>
          <w:szCs w:val="30"/>
        </w:rPr>
      </w:pPr>
      <w:r>
        <w:rPr>
          <w:rFonts w:hint="eastAsia" w:ascii="楷体_GB2312" w:hAnsi="宋体" w:eastAsia="楷体_GB2312"/>
          <w:b/>
          <w:sz w:val="30"/>
          <w:szCs w:val="30"/>
        </w:rPr>
        <w:t>30.三公经费：</w:t>
      </w:r>
      <w:r>
        <w:rPr>
          <w:rFonts w:hint="eastAsia" w:ascii="楷体_GB2312" w:eastAsia="楷体_GB2312"/>
          <w:sz w:val="30"/>
          <w:szCs w:val="30"/>
        </w:rPr>
        <w:t>是</w:t>
      </w:r>
      <w:r>
        <w:rPr>
          <w:rFonts w:ascii="楷体_GB2312" w:eastAsia="楷体_GB2312"/>
          <w:sz w:val="30"/>
          <w:szCs w:val="30"/>
        </w:rPr>
        <w:t>指政府部门公务出国（境）经费、公务用车购置及运行费和公务接待费用。</w:t>
      </w:r>
    </w:p>
    <w:p>
      <w:pPr>
        <w:widowControl w:val="0"/>
        <w:spacing w:after="0" w:line="600" w:lineRule="exact"/>
        <w:ind w:firstLine="590" w:firstLineChars="196"/>
        <w:jc w:val="both"/>
        <w:rPr>
          <w:rFonts w:ascii="楷体_GB2312" w:eastAsia="楷体_GB2312"/>
          <w:sz w:val="30"/>
          <w:szCs w:val="30"/>
        </w:rPr>
      </w:pPr>
      <w:r>
        <w:rPr>
          <w:rFonts w:hint="eastAsia" w:ascii="楷体_GB2312" w:hAnsi="宋体" w:eastAsia="楷体_GB2312"/>
          <w:b/>
          <w:sz w:val="30"/>
          <w:szCs w:val="30"/>
        </w:rPr>
        <w:t>31.全口径预算：</w:t>
      </w:r>
      <w:r>
        <w:rPr>
          <w:rFonts w:hint="eastAsia" w:ascii="楷体_GB2312" w:eastAsia="楷体_GB2312"/>
          <w:sz w:val="30"/>
          <w:szCs w:val="30"/>
        </w:rPr>
        <w:t>是指把政府所有收支全部纳入统一管理，其目标定位于构建一个覆盖所有收支，不存在游离于预算外的政府收支，是将所有类型的财政资金收支都纳入统一管理体系的制度框架。</w:t>
      </w:r>
    </w:p>
    <w:p>
      <w:pPr>
        <w:spacing w:after="0" w:line="600" w:lineRule="exact"/>
        <w:ind w:firstLine="640" w:firstLineChars="200"/>
        <w:jc w:val="both"/>
        <w:rPr>
          <w:rFonts w:ascii="宋体" w:hAnsi="宋体" w:eastAsia="宋体"/>
          <w:sz w:val="32"/>
          <w:szCs w:val="32"/>
        </w:rPr>
      </w:pPr>
    </w:p>
    <w:sectPr>
      <w:footerReference r:id="rId4" w:type="default"/>
      <w:pgSz w:w="11906" w:h="16838"/>
      <w:pgMar w:top="1440" w:right="1800" w:bottom="1440" w:left="1800" w:header="708" w:footer="708" w:gutter="0"/>
      <w:cols w:space="708"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小标宋简体">
    <w:panose1 w:val="00000600000000000000"/>
    <w:charset w:val="86"/>
    <w:family w:val="auto"/>
    <w:pitch w:val="default"/>
    <w:sig w:usb0="800002BF" w:usb1="184F6CF8" w:usb2="00000012" w:usb3="00000000" w:csb0="00160001" w:csb1="12030000"/>
  </w:font>
  <w:font w:name="楷体_GB2312">
    <w:altName w:val="楷体"/>
    <w:panose1 w:val="02010609030101010101"/>
    <w:charset w:val="86"/>
    <w:family w:val="modern"/>
    <w:pitch w:val="default"/>
    <w:sig w:usb0="00000000" w:usb1="00000000" w:usb2="00000010" w:usb3="00000000" w:csb0="00040000" w:csb1="00000000"/>
  </w:font>
  <w:font w:name="华文仿宋">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pPr>
    <w:r>
      <w:fldChar w:fldCharType="begin"/>
    </w:r>
    <w:r>
      <w:instrText xml:space="preserve"> PAGE   \* MERGEFORMAT </w:instrText>
    </w:r>
    <w:r>
      <w:fldChar w:fldCharType="separate"/>
    </w:r>
    <w:r>
      <w:rPr>
        <w:lang w:val="zh-CN"/>
      </w:rPr>
      <w:t>1</w:t>
    </w:r>
    <w:r>
      <w:rPr>
        <w:lang w:val="zh-CN"/>
      </w:rPr>
      <w:fldChar w:fldCharType="end"/>
    </w:r>
  </w:p>
  <w:p>
    <w:pPr>
      <w:pStyle w:val="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footnotePr>
    <w:footnote w:id="0"/>
    <w:footnote w:id="1"/>
  </w:footnotePr>
  <w:compat>
    <w:useFELayout/>
    <w:compatSetting w:name="compatibilityMode" w:uri="http://schemas.microsoft.com/office/word" w:val="12"/>
  </w:compat>
  <w:docVars>
    <w:docVar w:name="commondata" w:val="eyJoZGlkIjoiMzE1ZDg1MjQyMWM5NGNiNzE1YmE2OTlhMTU3MzM4MzAifQ=="/>
  </w:docVars>
  <w:rsids>
    <w:rsidRoot w:val="00CE1F8B"/>
    <w:rsid w:val="00000EAC"/>
    <w:rsid w:val="0000269B"/>
    <w:rsid w:val="000028DD"/>
    <w:rsid w:val="00003148"/>
    <w:rsid w:val="000034A1"/>
    <w:rsid w:val="00004310"/>
    <w:rsid w:val="0000483D"/>
    <w:rsid w:val="000059D3"/>
    <w:rsid w:val="00006F34"/>
    <w:rsid w:val="0000775C"/>
    <w:rsid w:val="000109D4"/>
    <w:rsid w:val="0001146B"/>
    <w:rsid w:val="00011F3A"/>
    <w:rsid w:val="000142C8"/>
    <w:rsid w:val="0001469D"/>
    <w:rsid w:val="0001768E"/>
    <w:rsid w:val="00021E5D"/>
    <w:rsid w:val="00026070"/>
    <w:rsid w:val="00027326"/>
    <w:rsid w:val="0002770A"/>
    <w:rsid w:val="000301F4"/>
    <w:rsid w:val="00032125"/>
    <w:rsid w:val="000338DC"/>
    <w:rsid w:val="00034B03"/>
    <w:rsid w:val="000366DF"/>
    <w:rsid w:val="00036B03"/>
    <w:rsid w:val="0003777E"/>
    <w:rsid w:val="00037A96"/>
    <w:rsid w:val="00041DA2"/>
    <w:rsid w:val="0004364E"/>
    <w:rsid w:val="00043D57"/>
    <w:rsid w:val="000447DA"/>
    <w:rsid w:val="00044FF1"/>
    <w:rsid w:val="00045D22"/>
    <w:rsid w:val="0004632B"/>
    <w:rsid w:val="00047E7F"/>
    <w:rsid w:val="0005149A"/>
    <w:rsid w:val="0005225A"/>
    <w:rsid w:val="00053091"/>
    <w:rsid w:val="000532C9"/>
    <w:rsid w:val="000535ED"/>
    <w:rsid w:val="000536C6"/>
    <w:rsid w:val="0005727E"/>
    <w:rsid w:val="0006332C"/>
    <w:rsid w:val="000635FB"/>
    <w:rsid w:val="00064510"/>
    <w:rsid w:val="00064AC1"/>
    <w:rsid w:val="00065382"/>
    <w:rsid w:val="000712DE"/>
    <w:rsid w:val="000766AB"/>
    <w:rsid w:val="00077448"/>
    <w:rsid w:val="0007775A"/>
    <w:rsid w:val="0007797A"/>
    <w:rsid w:val="000808B9"/>
    <w:rsid w:val="00080E2B"/>
    <w:rsid w:val="00083413"/>
    <w:rsid w:val="0008469C"/>
    <w:rsid w:val="00086718"/>
    <w:rsid w:val="00086A59"/>
    <w:rsid w:val="000904DD"/>
    <w:rsid w:val="000932ED"/>
    <w:rsid w:val="0009449E"/>
    <w:rsid w:val="00094832"/>
    <w:rsid w:val="00094FD8"/>
    <w:rsid w:val="000958C4"/>
    <w:rsid w:val="000A21CB"/>
    <w:rsid w:val="000A75A8"/>
    <w:rsid w:val="000B1CC6"/>
    <w:rsid w:val="000B1F46"/>
    <w:rsid w:val="000B3AE0"/>
    <w:rsid w:val="000B6B25"/>
    <w:rsid w:val="000B742E"/>
    <w:rsid w:val="000B7BD9"/>
    <w:rsid w:val="000C6064"/>
    <w:rsid w:val="000D0B9B"/>
    <w:rsid w:val="000D15A9"/>
    <w:rsid w:val="000D2CF9"/>
    <w:rsid w:val="000D41A6"/>
    <w:rsid w:val="000E02AC"/>
    <w:rsid w:val="000E1351"/>
    <w:rsid w:val="000E1A82"/>
    <w:rsid w:val="000E5490"/>
    <w:rsid w:val="000E5EDC"/>
    <w:rsid w:val="000F0380"/>
    <w:rsid w:val="000F0D16"/>
    <w:rsid w:val="000F16B8"/>
    <w:rsid w:val="000F7462"/>
    <w:rsid w:val="00100D35"/>
    <w:rsid w:val="00101467"/>
    <w:rsid w:val="0010339A"/>
    <w:rsid w:val="00104FD9"/>
    <w:rsid w:val="0010610F"/>
    <w:rsid w:val="001128CF"/>
    <w:rsid w:val="00115165"/>
    <w:rsid w:val="00117470"/>
    <w:rsid w:val="001209C6"/>
    <w:rsid w:val="001215AB"/>
    <w:rsid w:val="00122E31"/>
    <w:rsid w:val="00123124"/>
    <w:rsid w:val="0012426B"/>
    <w:rsid w:val="00125665"/>
    <w:rsid w:val="00131396"/>
    <w:rsid w:val="001313B2"/>
    <w:rsid w:val="001339BE"/>
    <w:rsid w:val="00134ADB"/>
    <w:rsid w:val="00134C13"/>
    <w:rsid w:val="00141CD9"/>
    <w:rsid w:val="00142105"/>
    <w:rsid w:val="001443EE"/>
    <w:rsid w:val="001467C8"/>
    <w:rsid w:val="001472C9"/>
    <w:rsid w:val="00151ADA"/>
    <w:rsid w:val="00151D98"/>
    <w:rsid w:val="001536EC"/>
    <w:rsid w:val="001570E0"/>
    <w:rsid w:val="00160B31"/>
    <w:rsid w:val="001635E5"/>
    <w:rsid w:val="00163FBC"/>
    <w:rsid w:val="00167A18"/>
    <w:rsid w:val="001721B1"/>
    <w:rsid w:val="00175A28"/>
    <w:rsid w:val="00177C6D"/>
    <w:rsid w:val="00177D0E"/>
    <w:rsid w:val="00181225"/>
    <w:rsid w:val="00181F5B"/>
    <w:rsid w:val="00183B30"/>
    <w:rsid w:val="00184525"/>
    <w:rsid w:val="001845B8"/>
    <w:rsid w:val="00185D24"/>
    <w:rsid w:val="001869C8"/>
    <w:rsid w:val="00186C84"/>
    <w:rsid w:val="0018767D"/>
    <w:rsid w:val="0019125A"/>
    <w:rsid w:val="0019471E"/>
    <w:rsid w:val="00195488"/>
    <w:rsid w:val="001A1928"/>
    <w:rsid w:val="001A2EF9"/>
    <w:rsid w:val="001A449A"/>
    <w:rsid w:val="001A4A33"/>
    <w:rsid w:val="001A6B93"/>
    <w:rsid w:val="001A7B97"/>
    <w:rsid w:val="001B31BC"/>
    <w:rsid w:val="001B3ECC"/>
    <w:rsid w:val="001B40E9"/>
    <w:rsid w:val="001B6023"/>
    <w:rsid w:val="001B679F"/>
    <w:rsid w:val="001C0271"/>
    <w:rsid w:val="001C120A"/>
    <w:rsid w:val="001C24C0"/>
    <w:rsid w:val="001C353B"/>
    <w:rsid w:val="001C7C28"/>
    <w:rsid w:val="001D11B6"/>
    <w:rsid w:val="001D2286"/>
    <w:rsid w:val="001D3540"/>
    <w:rsid w:val="001D42DB"/>
    <w:rsid w:val="001D766F"/>
    <w:rsid w:val="001D7C92"/>
    <w:rsid w:val="001E39B5"/>
    <w:rsid w:val="001E7637"/>
    <w:rsid w:val="001E774E"/>
    <w:rsid w:val="001E7F8C"/>
    <w:rsid w:val="001F2383"/>
    <w:rsid w:val="001F28A0"/>
    <w:rsid w:val="001F2F26"/>
    <w:rsid w:val="001F36D4"/>
    <w:rsid w:val="001F4083"/>
    <w:rsid w:val="001F5108"/>
    <w:rsid w:val="001F59F9"/>
    <w:rsid w:val="00200D24"/>
    <w:rsid w:val="00202898"/>
    <w:rsid w:val="002041E7"/>
    <w:rsid w:val="002051D1"/>
    <w:rsid w:val="00207CE9"/>
    <w:rsid w:val="0021503A"/>
    <w:rsid w:val="002168B9"/>
    <w:rsid w:val="00222038"/>
    <w:rsid w:val="00223DBB"/>
    <w:rsid w:val="00225357"/>
    <w:rsid w:val="00230509"/>
    <w:rsid w:val="00230CA7"/>
    <w:rsid w:val="002317E5"/>
    <w:rsid w:val="002324E5"/>
    <w:rsid w:val="00232C83"/>
    <w:rsid w:val="00232CE9"/>
    <w:rsid w:val="0023373A"/>
    <w:rsid w:val="00235B90"/>
    <w:rsid w:val="00236236"/>
    <w:rsid w:val="002411B9"/>
    <w:rsid w:val="00242DD7"/>
    <w:rsid w:val="002447E5"/>
    <w:rsid w:val="002466EC"/>
    <w:rsid w:val="002467B5"/>
    <w:rsid w:val="00246852"/>
    <w:rsid w:val="0025263D"/>
    <w:rsid w:val="00253161"/>
    <w:rsid w:val="002537DF"/>
    <w:rsid w:val="00253DF7"/>
    <w:rsid w:val="002547D5"/>
    <w:rsid w:val="00255FDF"/>
    <w:rsid w:val="00256AA6"/>
    <w:rsid w:val="0025736D"/>
    <w:rsid w:val="002576F6"/>
    <w:rsid w:val="00262DAA"/>
    <w:rsid w:val="00262E50"/>
    <w:rsid w:val="00263EF3"/>
    <w:rsid w:val="00264069"/>
    <w:rsid w:val="0026637D"/>
    <w:rsid w:val="0026759C"/>
    <w:rsid w:val="00270AA9"/>
    <w:rsid w:val="0027174C"/>
    <w:rsid w:val="00275929"/>
    <w:rsid w:val="00280DF9"/>
    <w:rsid w:val="00281D25"/>
    <w:rsid w:val="00283F2F"/>
    <w:rsid w:val="002843BF"/>
    <w:rsid w:val="002848B9"/>
    <w:rsid w:val="0028632F"/>
    <w:rsid w:val="00287720"/>
    <w:rsid w:val="00290038"/>
    <w:rsid w:val="00290B92"/>
    <w:rsid w:val="0029167F"/>
    <w:rsid w:val="002919E3"/>
    <w:rsid w:val="00291D02"/>
    <w:rsid w:val="00291E7D"/>
    <w:rsid w:val="00296614"/>
    <w:rsid w:val="002976D3"/>
    <w:rsid w:val="002A0763"/>
    <w:rsid w:val="002A32AA"/>
    <w:rsid w:val="002A5A18"/>
    <w:rsid w:val="002A7E1A"/>
    <w:rsid w:val="002B06EB"/>
    <w:rsid w:val="002B1DD9"/>
    <w:rsid w:val="002B25D7"/>
    <w:rsid w:val="002B28B4"/>
    <w:rsid w:val="002B2DBA"/>
    <w:rsid w:val="002B42D2"/>
    <w:rsid w:val="002B5A30"/>
    <w:rsid w:val="002B66AC"/>
    <w:rsid w:val="002C0AEA"/>
    <w:rsid w:val="002C108A"/>
    <w:rsid w:val="002C3A3A"/>
    <w:rsid w:val="002C4159"/>
    <w:rsid w:val="002C5183"/>
    <w:rsid w:val="002C6588"/>
    <w:rsid w:val="002D2500"/>
    <w:rsid w:val="002D66D9"/>
    <w:rsid w:val="002E088A"/>
    <w:rsid w:val="002E0D6C"/>
    <w:rsid w:val="002E2B94"/>
    <w:rsid w:val="002E4EEB"/>
    <w:rsid w:val="002E57D4"/>
    <w:rsid w:val="002E58B4"/>
    <w:rsid w:val="002E6CC7"/>
    <w:rsid w:val="002F1830"/>
    <w:rsid w:val="002F216C"/>
    <w:rsid w:val="002F252C"/>
    <w:rsid w:val="002F2871"/>
    <w:rsid w:val="002F4F63"/>
    <w:rsid w:val="002F5755"/>
    <w:rsid w:val="002F5F95"/>
    <w:rsid w:val="002F71C7"/>
    <w:rsid w:val="002F7E4A"/>
    <w:rsid w:val="00300CD8"/>
    <w:rsid w:val="00302047"/>
    <w:rsid w:val="003025DD"/>
    <w:rsid w:val="00304027"/>
    <w:rsid w:val="00307512"/>
    <w:rsid w:val="003107D8"/>
    <w:rsid w:val="00311901"/>
    <w:rsid w:val="00311D3F"/>
    <w:rsid w:val="003124F0"/>
    <w:rsid w:val="0031550B"/>
    <w:rsid w:val="003212A3"/>
    <w:rsid w:val="00322CC7"/>
    <w:rsid w:val="00323B43"/>
    <w:rsid w:val="00323D50"/>
    <w:rsid w:val="0032574B"/>
    <w:rsid w:val="00327E3F"/>
    <w:rsid w:val="00330328"/>
    <w:rsid w:val="0033162D"/>
    <w:rsid w:val="00331948"/>
    <w:rsid w:val="00332B62"/>
    <w:rsid w:val="003348DE"/>
    <w:rsid w:val="00334DB3"/>
    <w:rsid w:val="003350B1"/>
    <w:rsid w:val="00337A48"/>
    <w:rsid w:val="00340F10"/>
    <w:rsid w:val="0034146D"/>
    <w:rsid w:val="00341CF9"/>
    <w:rsid w:val="003441C0"/>
    <w:rsid w:val="0034551E"/>
    <w:rsid w:val="003456AC"/>
    <w:rsid w:val="00345C94"/>
    <w:rsid w:val="00352C10"/>
    <w:rsid w:val="0035304A"/>
    <w:rsid w:val="003603D1"/>
    <w:rsid w:val="00360C58"/>
    <w:rsid w:val="00361578"/>
    <w:rsid w:val="00366348"/>
    <w:rsid w:val="00367E2B"/>
    <w:rsid w:val="00371060"/>
    <w:rsid w:val="00372D7F"/>
    <w:rsid w:val="003736D2"/>
    <w:rsid w:val="003750F4"/>
    <w:rsid w:val="00377CE3"/>
    <w:rsid w:val="00380932"/>
    <w:rsid w:val="00380C2B"/>
    <w:rsid w:val="00381C4D"/>
    <w:rsid w:val="003822D6"/>
    <w:rsid w:val="00383BAD"/>
    <w:rsid w:val="00384F5E"/>
    <w:rsid w:val="0038545D"/>
    <w:rsid w:val="00385664"/>
    <w:rsid w:val="003858A7"/>
    <w:rsid w:val="00386EAE"/>
    <w:rsid w:val="00387E0D"/>
    <w:rsid w:val="003908FA"/>
    <w:rsid w:val="0039155D"/>
    <w:rsid w:val="0039694D"/>
    <w:rsid w:val="003A18C1"/>
    <w:rsid w:val="003A1A41"/>
    <w:rsid w:val="003B4094"/>
    <w:rsid w:val="003B42A3"/>
    <w:rsid w:val="003B42F6"/>
    <w:rsid w:val="003B4404"/>
    <w:rsid w:val="003B52CA"/>
    <w:rsid w:val="003B57B9"/>
    <w:rsid w:val="003C133E"/>
    <w:rsid w:val="003C1EAE"/>
    <w:rsid w:val="003C5D2E"/>
    <w:rsid w:val="003D0202"/>
    <w:rsid w:val="003D0DFB"/>
    <w:rsid w:val="003D11CB"/>
    <w:rsid w:val="003D37D8"/>
    <w:rsid w:val="003D52A1"/>
    <w:rsid w:val="003D5893"/>
    <w:rsid w:val="003D7075"/>
    <w:rsid w:val="003E1407"/>
    <w:rsid w:val="003E2707"/>
    <w:rsid w:val="003E29DC"/>
    <w:rsid w:val="003E2F5F"/>
    <w:rsid w:val="003E51BE"/>
    <w:rsid w:val="003E7058"/>
    <w:rsid w:val="003F07B8"/>
    <w:rsid w:val="003F2F53"/>
    <w:rsid w:val="003F42A4"/>
    <w:rsid w:val="00400CC6"/>
    <w:rsid w:val="00404BCB"/>
    <w:rsid w:val="004067AA"/>
    <w:rsid w:val="004073F8"/>
    <w:rsid w:val="00410C71"/>
    <w:rsid w:val="00412732"/>
    <w:rsid w:val="004145F7"/>
    <w:rsid w:val="004155C4"/>
    <w:rsid w:val="00423163"/>
    <w:rsid w:val="004236CC"/>
    <w:rsid w:val="0042372B"/>
    <w:rsid w:val="004239A4"/>
    <w:rsid w:val="00430308"/>
    <w:rsid w:val="00433614"/>
    <w:rsid w:val="004336FC"/>
    <w:rsid w:val="004358AB"/>
    <w:rsid w:val="00443DBA"/>
    <w:rsid w:val="0044583F"/>
    <w:rsid w:val="004517EE"/>
    <w:rsid w:val="00453745"/>
    <w:rsid w:val="004579D7"/>
    <w:rsid w:val="004601C3"/>
    <w:rsid w:val="00460E0B"/>
    <w:rsid w:val="00460F86"/>
    <w:rsid w:val="00461885"/>
    <w:rsid w:val="00463F42"/>
    <w:rsid w:val="0046425C"/>
    <w:rsid w:val="00466902"/>
    <w:rsid w:val="004675BA"/>
    <w:rsid w:val="00471921"/>
    <w:rsid w:val="00474B71"/>
    <w:rsid w:val="00474FD0"/>
    <w:rsid w:val="00482F0C"/>
    <w:rsid w:val="00483BC9"/>
    <w:rsid w:val="004841C6"/>
    <w:rsid w:val="00485FBB"/>
    <w:rsid w:val="004873E5"/>
    <w:rsid w:val="004875AF"/>
    <w:rsid w:val="00494621"/>
    <w:rsid w:val="004949DC"/>
    <w:rsid w:val="00495431"/>
    <w:rsid w:val="0049610E"/>
    <w:rsid w:val="004A1473"/>
    <w:rsid w:val="004A153C"/>
    <w:rsid w:val="004A5481"/>
    <w:rsid w:val="004A5D60"/>
    <w:rsid w:val="004A740A"/>
    <w:rsid w:val="004A7B36"/>
    <w:rsid w:val="004B0807"/>
    <w:rsid w:val="004B08F9"/>
    <w:rsid w:val="004B285F"/>
    <w:rsid w:val="004B2A1F"/>
    <w:rsid w:val="004B34F3"/>
    <w:rsid w:val="004B4678"/>
    <w:rsid w:val="004B4B1B"/>
    <w:rsid w:val="004B55C9"/>
    <w:rsid w:val="004B5B27"/>
    <w:rsid w:val="004B6541"/>
    <w:rsid w:val="004B7B05"/>
    <w:rsid w:val="004C0EC5"/>
    <w:rsid w:val="004C32A3"/>
    <w:rsid w:val="004C5D69"/>
    <w:rsid w:val="004C6BBE"/>
    <w:rsid w:val="004C7728"/>
    <w:rsid w:val="004D1FA5"/>
    <w:rsid w:val="004D3B22"/>
    <w:rsid w:val="004D4736"/>
    <w:rsid w:val="004D5F23"/>
    <w:rsid w:val="004D648B"/>
    <w:rsid w:val="004D66A5"/>
    <w:rsid w:val="004D680A"/>
    <w:rsid w:val="004D6BA4"/>
    <w:rsid w:val="004D7215"/>
    <w:rsid w:val="004E00A5"/>
    <w:rsid w:val="004E1778"/>
    <w:rsid w:val="004E2343"/>
    <w:rsid w:val="004E3453"/>
    <w:rsid w:val="004E3878"/>
    <w:rsid w:val="004E38AB"/>
    <w:rsid w:val="004E453D"/>
    <w:rsid w:val="004F07AE"/>
    <w:rsid w:val="004F3D06"/>
    <w:rsid w:val="005011F3"/>
    <w:rsid w:val="00502FDB"/>
    <w:rsid w:val="00503371"/>
    <w:rsid w:val="005033EB"/>
    <w:rsid w:val="00503C6E"/>
    <w:rsid w:val="00505361"/>
    <w:rsid w:val="00505E0C"/>
    <w:rsid w:val="00507016"/>
    <w:rsid w:val="00507D0A"/>
    <w:rsid w:val="0051138B"/>
    <w:rsid w:val="005115A6"/>
    <w:rsid w:val="0051653A"/>
    <w:rsid w:val="00516631"/>
    <w:rsid w:val="005173B9"/>
    <w:rsid w:val="0052032B"/>
    <w:rsid w:val="0052084E"/>
    <w:rsid w:val="00521EC5"/>
    <w:rsid w:val="005232DB"/>
    <w:rsid w:val="005233A0"/>
    <w:rsid w:val="005240A1"/>
    <w:rsid w:val="00525717"/>
    <w:rsid w:val="0052674C"/>
    <w:rsid w:val="00530DA5"/>
    <w:rsid w:val="0053211E"/>
    <w:rsid w:val="0053306A"/>
    <w:rsid w:val="005347F1"/>
    <w:rsid w:val="00534E90"/>
    <w:rsid w:val="005354BC"/>
    <w:rsid w:val="00535945"/>
    <w:rsid w:val="005405DA"/>
    <w:rsid w:val="005422C8"/>
    <w:rsid w:val="005438EF"/>
    <w:rsid w:val="00544216"/>
    <w:rsid w:val="005451A0"/>
    <w:rsid w:val="0054598F"/>
    <w:rsid w:val="0054669E"/>
    <w:rsid w:val="00550FBC"/>
    <w:rsid w:val="00553514"/>
    <w:rsid w:val="00554CFA"/>
    <w:rsid w:val="00561FA4"/>
    <w:rsid w:val="005620DB"/>
    <w:rsid w:val="00564277"/>
    <w:rsid w:val="00564960"/>
    <w:rsid w:val="00567496"/>
    <w:rsid w:val="00572663"/>
    <w:rsid w:val="0058079D"/>
    <w:rsid w:val="00580E17"/>
    <w:rsid w:val="00581674"/>
    <w:rsid w:val="005831DC"/>
    <w:rsid w:val="00583950"/>
    <w:rsid w:val="00583B51"/>
    <w:rsid w:val="005850A8"/>
    <w:rsid w:val="0058562A"/>
    <w:rsid w:val="00585BC6"/>
    <w:rsid w:val="00590F0A"/>
    <w:rsid w:val="00591945"/>
    <w:rsid w:val="005920BB"/>
    <w:rsid w:val="00592736"/>
    <w:rsid w:val="005929E6"/>
    <w:rsid w:val="00592FEC"/>
    <w:rsid w:val="00593849"/>
    <w:rsid w:val="00595586"/>
    <w:rsid w:val="00595F28"/>
    <w:rsid w:val="00596399"/>
    <w:rsid w:val="00596434"/>
    <w:rsid w:val="005972CA"/>
    <w:rsid w:val="005A1850"/>
    <w:rsid w:val="005A2A08"/>
    <w:rsid w:val="005A34C1"/>
    <w:rsid w:val="005A373F"/>
    <w:rsid w:val="005A38D4"/>
    <w:rsid w:val="005A4EFE"/>
    <w:rsid w:val="005A7F34"/>
    <w:rsid w:val="005B0199"/>
    <w:rsid w:val="005B1526"/>
    <w:rsid w:val="005B2A62"/>
    <w:rsid w:val="005B41A9"/>
    <w:rsid w:val="005B4EF6"/>
    <w:rsid w:val="005B5120"/>
    <w:rsid w:val="005C0312"/>
    <w:rsid w:val="005C09F7"/>
    <w:rsid w:val="005C16E5"/>
    <w:rsid w:val="005C2A06"/>
    <w:rsid w:val="005C51AA"/>
    <w:rsid w:val="005D23C2"/>
    <w:rsid w:val="005D3092"/>
    <w:rsid w:val="005D5B85"/>
    <w:rsid w:val="005D629E"/>
    <w:rsid w:val="005D642F"/>
    <w:rsid w:val="005E1074"/>
    <w:rsid w:val="005E12D7"/>
    <w:rsid w:val="005E27C4"/>
    <w:rsid w:val="005E2834"/>
    <w:rsid w:val="005E2B49"/>
    <w:rsid w:val="005E7C17"/>
    <w:rsid w:val="005F05CB"/>
    <w:rsid w:val="005F31AE"/>
    <w:rsid w:val="005F33EB"/>
    <w:rsid w:val="005F3584"/>
    <w:rsid w:val="005F4D1E"/>
    <w:rsid w:val="005F6A38"/>
    <w:rsid w:val="005F7E0B"/>
    <w:rsid w:val="006009A5"/>
    <w:rsid w:val="00602871"/>
    <w:rsid w:val="006042A7"/>
    <w:rsid w:val="006057C9"/>
    <w:rsid w:val="00605D95"/>
    <w:rsid w:val="0061073C"/>
    <w:rsid w:val="00612888"/>
    <w:rsid w:val="00613014"/>
    <w:rsid w:val="006135C1"/>
    <w:rsid w:val="00614CA8"/>
    <w:rsid w:val="006150B9"/>
    <w:rsid w:val="00615876"/>
    <w:rsid w:val="0061595B"/>
    <w:rsid w:val="006179FC"/>
    <w:rsid w:val="00620028"/>
    <w:rsid w:val="00621A7F"/>
    <w:rsid w:val="006222BB"/>
    <w:rsid w:val="006224BC"/>
    <w:rsid w:val="00623AF1"/>
    <w:rsid w:val="00623C72"/>
    <w:rsid w:val="00624DF2"/>
    <w:rsid w:val="00624E86"/>
    <w:rsid w:val="00625901"/>
    <w:rsid w:val="006269D4"/>
    <w:rsid w:val="0063005C"/>
    <w:rsid w:val="00630337"/>
    <w:rsid w:val="00632FFE"/>
    <w:rsid w:val="0063341C"/>
    <w:rsid w:val="00635A0C"/>
    <w:rsid w:val="00637239"/>
    <w:rsid w:val="00641EEE"/>
    <w:rsid w:val="00642F7A"/>
    <w:rsid w:val="00643183"/>
    <w:rsid w:val="0064337D"/>
    <w:rsid w:val="00644E8A"/>
    <w:rsid w:val="00645D8A"/>
    <w:rsid w:val="00646F4C"/>
    <w:rsid w:val="00647338"/>
    <w:rsid w:val="00647E2F"/>
    <w:rsid w:val="00647E89"/>
    <w:rsid w:val="006519CC"/>
    <w:rsid w:val="00652865"/>
    <w:rsid w:val="00653F08"/>
    <w:rsid w:val="00664226"/>
    <w:rsid w:val="006745A2"/>
    <w:rsid w:val="00674C55"/>
    <w:rsid w:val="00675786"/>
    <w:rsid w:val="00675E31"/>
    <w:rsid w:val="006765D3"/>
    <w:rsid w:val="006800DB"/>
    <w:rsid w:val="00680A6D"/>
    <w:rsid w:val="00680DA4"/>
    <w:rsid w:val="006820FA"/>
    <w:rsid w:val="006828FA"/>
    <w:rsid w:val="00685061"/>
    <w:rsid w:val="00687E5B"/>
    <w:rsid w:val="006920A2"/>
    <w:rsid w:val="006941ED"/>
    <w:rsid w:val="00694E0A"/>
    <w:rsid w:val="00695B9C"/>
    <w:rsid w:val="006A0C9A"/>
    <w:rsid w:val="006A0E18"/>
    <w:rsid w:val="006A4330"/>
    <w:rsid w:val="006A5C31"/>
    <w:rsid w:val="006A6448"/>
    <w:rsid w:val="006A7FDC"/>
    <w:rsid w:val="006B04E3"/>
    <w:rsid w:val="006B0F08"/>
    <w:rsid w:val="006B113C"/>
    <w:rsid w:val="006B26C7"/>
    <w:rsid w:val="006B303C"/>
    <w:rsid w:val="006B3688"/>
    <w:rsid w:val="006B3911"/>
    <w:rsid w:val="006B3ED0"/>
    <w:rsid w:val="006B4261"/>
    <w:rsid w:val="006B4BF6"/>
    <w:rsid w:val="006B7D8D"/>
    <w:rsid w:val="006C3A4F"/>
    <w:rsid w:val="006C4FEB"/>
    <w:rsid w:val="006D027B"/>
    <w:rsid w:val="006D70FE"/>
    <w:rsid w:val="006D7498"/>
    <w:rsid w:val="006D792F"/>
    <w:rsid w:val="006E0B33"/>
    <w:rsid w:val="006E16BA"/>
    <w:rsid w:val="006E1F0E"/>
    <w:rsid w:val="006E2F83"/>
    <w:rsid w:val="006E502E"/>
    <w:rsid w:val="006E5171"/>
    <w:rsid w:val="006E5722"/>
    <w:rsid w:val="006E6098"/>
    <w:rsid w:val="006E645B"/>
    <w:rsid w:val="006E6AE1"/>
    <w:rsid w:val="006F0CBB"/>
    <w:rsid w:val="006F3A66"/>
    <w:rsid w:val="006F3F46"/>
    <w:rsid w:val="0070179E"/>
    <w:rsid w:val="0070360D"/>
    <w:rsid w:val="0070521E"/>
    <w:rsid w:val="0070690B"/>
    <w:rsid w:val="00711472"/>
    <w:rsid w:val="0071529C"/>
    <w:rsid w:val="00716B87"/>
    <w:rsid w:val="00723A26"/>
    <w:rsid w:val="007241BF"/>
    <w:rsid w:val="00725D68"/>
    <w:rsid w:val="007307D5"/>
    <w:rsid w:val="007322C7"/>
    <w:rsid w:val="00735B01"/>
    <w:rsid w:val="00741F6F"/>
    <w:rsid w:val="00742494"/>
    <w:rsid w:val="007424E7"/>
    <w:rsid w:val="007441FE"/>
    <w:rsid w:val="007447AD"/>
    <w:rsid w:val="00745E56"/>
    <w:rsid w:val="0075388D"/>
    <w:rsid w:val="0075523B"/>
    <w:rsid w:val="00755577"/>
    <w:rsid w:val="00757BEC"/>
    <w:rsid w:val="00760008"/>
    <w:rsid w:val="00760892"/>
    <w:rsid w:val="007632C9"/>
    <w:rsid w:val="0076532D"/>
    <w:rsid w:val="007654FF"/>
    <w:rsid w:val="00765888"/>
    <w:rsid w:val="00765AE0"/>
    <w:rsid w:val="00766030"/>
    <w:rsid w:val="00767254"/>
    <w:rsid w:val="00773D2F"/>
    <w:rsid w:val="00773F6F"/>
    <w:rsid w:val="00782393"/>
    <w:rsid w:val="00783F14"/>
    <w:rsid w:val="00783FA0"/>
    <w:rsid w:val="007846DF"/>
    <w:rsid w:val="00786095"/>
    <w:rsid w:val="007A320B"/>
    <w:rsid w:val="007A4789"/>
    <w:rsid w:val="007A6165"/>
    <w:rsid w:val="007A7543"/>
    <w:rsid w:val="007B3533"/>
    <w:rsid w:val="007B4EC9"/>
    <w:rsid w:val="007B64A4"/>
    <w:rsid w:val="007B6CB1"/>
    <w:rsid w:val="007C3359"/>
    <w:rsid w:val="007C3474"/>
    <w:rsid w:val="007C532D"/>
    <w:rsid w:val="007D146C"/>
    <w:rsid w:val="007D1D10"/>
    <w:rsid w:val="007D3DF5"/>
    <w:rsid w:val="007D3E0D"/>
    <w:rsid w:val="007D446A"/>
    <w:rsid w:val="007D49BB"/>
    <w:rsid w:val="007D5688"/>
    <w:rsid w:val="007E11D6"/>
    <w:rsid w:val="007E271F"/>
    <w:rsid w:val="007E65AD"/>
    <w:rsid w:val="007E69A7"/>
    <w:rsid w:val="007F0001"/>
    <w:rsid w:val="007F21CA"/>
    <w:rsid w:val="007F28AC"/>
    <w:rsid w:val="007F3EB2"/>
    <w:rsid w:val="007F5141"/>
    <w:rsid w:val="007F5749"/>
    <w:rsid w:val="007F6177"/>
    <w:rsid w:val="007F6D2F"/>
    <w:rsid w:val="007F6E01"/>
    <w:rsid w:val="008013F1"/>
    <w:rsid w:val="00801E3B"/>
    <w:rsid w:val="00804F05"/>
    <w:rsid w:val="00806778"/>
    <w:rsid w:val="00807409"/>
    <w:rsid w:val="00811588"/>
    <w:rsid w:val="008140CD"/>
    <w:rsid w:val="00814A9F"/>
    <w:rsid w:val="00814ED5"/>
    <w:rsid w:val="008156F3"/>
    <w:rsid w:val="00815A4D"/>
    <w:rsid w:val="00816698"/>
    <w:rsid w:val="0081674C"/>
    <w:rsid w:val="008169BF"/>
    <w:rsid w:val="00817362"/>
    <w:rsid w:val="00820451"/>
    <w:rsid w:val="00820919"/>
    <w:rsid w:val="008214A9"/>
    <w:rsid w:val="00826259"/>
    <w:rsid w:val="00830E46"/>
    <w:rsid w:val="00832F62"/>
    <w:rsid w:val="00834EEF"/>
    <w:rsid w:val="00842144"/>
    <w:rsid w:val="00850B7D"/>
    <w:rsid w:val="00853946"/>
    <w:rsid w:val="00854F89"/>
    <w:rsid w:val="008568A6"/>
    <w:rsid w:val="00861A29"/>
    <w:rsid w:val="00862814"/>
    <w:rsid w:val="008629DC"/>
    <w:rsid w:val="00863B07"/>
    <w:rsid w:val="00863FFF"/>
    <w:rsid w:val="00870812"/>
    <w:rsid w:val="00872100"/>
    <w:rsid w:val="00872B6F"/>
    <w:rsid w:val="00873187"/>
    <w:rsid w:val="00875CF2"/>
    <w:rsid w:val="0087703D"/>
    <w:rsid w:val="00877ACB"/>
    <w:rsid w:val="00882C25"/>
    <w:rsid w:val="0088753A"/>
    <w:rsid w:val="00887743"/>
    <w:rsid w:val="00893326"/>
    <w:rsid w:val="00893C09"/>
    <w:rsid w:val="0089435F"/>
    <w:rsid w:val="008947FF"/>
    <w:rsid w:val="008958A3"/>
    <w:rsid w:val="00895A1C"/>
    <w:rsid w:val="008960FF"/>
    <w:rsid w:val="008972EA"/>
    <w:rsid w:val="008A05BF"/>
    <w:rsid w:val="008A06F2"/>
    <w:rsid w:val="008A17BD"/>
    <w:rsid w:val="008A2C86"/>
    <w:rsid w:val="008A536F"/>
    <w:rsid w:val="008B0D6A"/>
    <w:rsid w:val="008B45D7"/>
    <w:rsid w:val="008B4A1D"/>
    <w:rsid w:val="008B7726"/>
    <w:rsid w:val="008C12AA"/>
    <w:rsid w:val="008C1B23"/>
    <w:rsid w:val="008C3C21"/>
    <w:rsid w:val="008C4535"/>
    <w:rsid w:val="008C46C4"/>
    <w:rsid w:val="008C5B73"/>
    <w:rsid w:val="008C6196"/>
    <w:rsid w:val="008C727E"/>
    <w:rsid w:val="008C72AA"/>
    <w:rsid w:val="008C73CD"/>
    <w:rsid w:val="008D12AA"/>
    <w:rsid w:val="008D1D71"/>
    <w:rsid w:val="008D2975"/>
    <w:rsid w:val="008D2DAB"/>
    <w:rsid w:val="008D4DEE"/>
    <w:rsid w:val="008D548D"/>
    <w:rsid w:val="008D6FBD"/>
    <w:rsid w:val="008E0471"/>
    <w:rsid w:val="008E12A7"/>
    <w:rsid w:val="008E2375"/>
    <w:rsid w:val="008E5A4A"/>
    <w:rsid w:val="008E603A"/>
    <w:rsid w:val="008E75CC"/>
    <w:rsid w:val="008F0F20"/>
    <w:rsid w:val="008F70EF"/>
    <w:rsid w:val="008F7C18"/>
    <w:rsid w:val="008F7C37"/>
    <w:rsid w:val="0090044D"/>
    <w:rsid w:val="009009E5"/>
    <w:rsid w:val="00901CCC"/>
    <w:rsid w:val="00904475"/>
    <w:rsid w:val="00905AC0"/>
    <w:rsid w:val="00905E8D"/>
    <w:rsid w:val="00910B70"/>
    <w:rsid w:val="009115AE"/>
    <w:rsid w:val="0091647B"/>
    <w:rsid w:val="0092314D"/>
    <w:rsid w:val="00925AEF"/>
    <w:rsid w:val="00926B7D"/>
    <w:rsid w:val="00927F4C"/>
    <w:rsid w:val="0093358A"/>
    <w:rsid w:val="0093409E"/>
    <w:rsid w:val="009366CC"/>
    <w:rsid w:val="00936CFB"/>
    <w:rsid w:val="00940199"/>
    <w:rsid w:val="00940F62"/>
    <w:rsid w:val="00942F88"/>
    <w:rsid w:val="00945B65"/>
    <w:rsid w:val="00945F91"/>
    <w:rsid w:val="00952A5C"/>
    <w:rsid w:val="00955FB6"/>
    <w:rsid w:val="00957AE7"/>
    <w:rsid w:val="00960056"/>
    <w:rsid w:val="00961DE6"/>
    <w:rsid w:val="00961FE8"/>
    <w:rsid w:val="00963F58"/>
    <w:rsid w:val="0096729D"/>
    <w:rsid w:val="00970463"/>
    <w:rsid w:val="0097168E"/>
    <w:rsid w:val="009779A9"/>
    <w:rsid w:val="00977FF9"/>
    <w:rsid w:val="009814E4"/>
    <w:rsid w:val="009846AB"/>
    <w:rsid w:val="00985ED4"/>
    <w:rsid w:val="009860AE"/>
    <w:rsid w:val="009860D2"/>
    <w:rsid w:val="00986E72"/>
    <w:rsid w:val="0098708F"/>
    <w:rsid w:val="009900DB"/>
    <w:rsid w:val="00992055"/>
    <w:rsid w:val="00992268"/>
    <w:rsid w:val="00993985"/>
    <w:rsid w:val="009947F5"/>
    <w:rsid w:val="00996C23"/>
    <w:rsid w:val="009977F1"/>
    <w:rsid w:val="009A0717"/>
    <w:rsid w:val="009A1CD5"/>
    <w:rsid w:val="009A251C"/>
    <w:rsid w:val="009A31CB"/>
    <w:rsid w:val="009A4A71"/>
    <w:rsid w:val="009A549B"/>
    <w:rsid w:val="009A6D2F"/>
    <w:rsid w:val="009A7F70"/>
    <w:rsid w:val="009B5024"/>
    <w:rsid w:val="009B5BB0"/>
    <w:rsid w:val="009B5DB9"/>
    <w:rsid w:val="009C21B2"/>
    <w:rsid w:val="009C42E9"/>
    <w:rsid w:val="009C4BA2"/>
    <w:rsid w:val="009C5ED4"/>
    <w:rsid w:val="009C66CF"/>
    <w:rsid w:val="009C6E45"/>
    <w:rsid w:val="009D1E52"/>
    <w:rsid w:val="009D436D"/>
    <w:rsid w:val="009D5069"/>
    <w:rsid w:val="009D5B99"/>
    <w:rsid w:val="009D5C77"/>
    <w:rsid w:val="009D710E"/>
    <w:rsid w:val="009D7BA1"/>
    <w:rsid w:val="009E0E98"/>
    <w:rsid w:val="009E1E7C"/>
    <w:rsid w:val="009E4447"/>
    <w:rsid w:val="009E6AAA"/>
    <w:rsid w:val="009F0A32"/>
    <w:rsid w:val="009F1871"/>
    <w:rsid w:val="009F4523"/>
    <w:rsid w:val="009F4768"/>
    <w:rsid w:val="009F7A85"/>
    <w:rsid w:val="00A00AC0"/>
    <w:rsid w:val="00A069CB"/>
    <w:rsid w:val="00A07070"/>
    <w:rsid w:val="00A07A5B"/>
    <w:rsid w:val="00A10910"/>
    <w:rsid w:val="00A11834"/>
    <w:rsid w:val="00A1466C"/>
    <w:rsid w:val="00A16E7F"/>
    <w:rsid w:val="00A175CE"/>
    <w:rsid w:val="00A17A11"/>
    <w:rsid w:val="00A24352"/>
    <w:rsid w:val="00A24C34"/>
    <w:rsid w:val="00A25CF2"/>
    <w:rsid w:val="00A26C53"/>
    <w:rsid w:val="00A30128"/>
    <w:rsid w:val="00A32444"/>
    <w:rsid w:val="00A331E0"/>
    <w:rsid w:val="00A35D08"/>
    <w:rsid w:val="00A40AA1"/>
    <w:rsid w:val="00A449DD"/>
    <w:rsid w:val="00A45BBA"/>
    <w:rsid w:val="00A45DA3"/>
    <w:rsid w:val="00A46EC7"/>
    <w:rsid w:val="00A501D2"/>
    <w:rsid w:val="00A52A72"/>
    <w:rsid w:val="00A53DD8"/>
    <w:rsid w:val="00A61CCF"/>
    <w:rsid w:val="00A6371A"/>
    <w:rsid w:val="00A64419"/>
    <w:rsid w:val="00A64BEF"/>
    <w:rsid w:val="00A64FAD"/>
    <w:rsid w:val="00A66C87"/>
    <w:rsid w:val="00A66F36"/>
    <w:rsid w:val="00A67D53"/>
    <w:rsid w:val="00A71510"/>
    <w:rsid w:val="00A74F38"/>
    <w:rsid w:val="00A76C05"/>
    <w:rsid w:val="00A77289"/>
    <w:rsid w:val="00A77A91"/>
    <w:rsid w:val="00A77FD0"/>
    <w:rsid w:val="00A803F5"/>
    <w:rsid w:val="00A81DA7"/>
    <w:rsid w:val="00A82286"/>
    <w:rsid w:val="00A837E5"/>
    <w:rsid w:val="00A847B1"/>
    <w:rsid w:val="00A84CEC"/>
    <w:rsid w:val="00A85B88"/>
    <w:rsid w:val="00A86289"/>
    <w:rsid w:val="00A90BCD"/>
    <w:rsid w:val="00A9276E"/>
    <w:rsid w:val="00A934B4"/>
    <w:rsid w:val="00A95E4F"/>
    <w:rsid w:val="00A976B6"/>
    <w:rsid w:val="00A97C25"/>
    <w:rsid w:val="00AA1453"/>
    <w:rsid w:val="00AA183D"/>
    <w:rsid w:val="00AA1FD0"/>
    <w:rsid w:val="00AA469B"/>
    <w:rsid w:val="00AA59EA"/>
    <w:rsid w:val="00AA678F"/>
    <w:rsid w:val="00AA69E7"/>
    <w:rsid w:val="00AA74A3"/>
    <w:rsid w:val="00AB4121"/>
    <w:rsid w:val="00AB4174"/>
    <w:rsid w:val="00AB431D"/>
    <w:rsid w:val="00AB459F"/>
    <w:rsid w:val="00AB702C"/>
    <w:rsid w:val="00AC08CF"/>
    <w:rsid w:val="00AC1B19"/>
    <w:rsid w:val="00AC4A10"/>
    <w:rsid w:val="00AC65E6"/>
    <w:rsid w:val="00AC6F86"/>
    <w:rsid w:val="00AC7AAB"/>
    <w:rsid w:val="00AC7B36"/>
    <w:rsid w:val="00AD0533"/>
    <w:rsid w:val="00AD1601"/>
    <w:rsid w:val="00AD2A29"/>
    <w:rsid w:val="00AD3EF4"/>
    <w:rsid w:val="00AD3FF2"/>
    <w:rsid w:val="00AD4F38"/>
    <w:rsid w:val="00AD67FF"/>
    <w:rsid w:val="00AD6BAA"/>
    <w:rsid w:val="00AE2132"/>
    <w:rsid w:val="00AE4058"/>
    <w:rsid w:val="00AE426A"/>
    <w:rsid w:val="00AE4E0C"/>
    <w:rsid w:val="00AE56CC"/>
    <w:rsid w:val="00AE578B"/>
    <w:rsid w:val="00AE7A3C"/>
    <w:rsid w:val="00AF298A"/>
    <w:rsid w:val="00AF3E35"/>
    <w:rsid w:val="00AF49D9"/>
    <w:rsid w:val="00AF4AA7"/>
    <w:rsid w:val="00AF5082"/>
    <w:rsid w:val="00B0077C"/>
    <w:rsid w:val="00B01F19"/>
    <w:rsid w:val="00B07229"/>
    <w:rsid w:val="00B07CAE"/>
    <w:rsid w:val="00B1698E"/>
    <w:rsid w:val="00B16B63"/>
    <w:rsid w:val="00B1779B"/>
    <w:rsid w:val="00B217FF"/>
    <w:rsid w:val="00B23C59"/>
    <w:rsid w:val="00B25F79"/>
    <w:rsid w:val="00B27B7A"/>
    <w:rsid w:val="00B306D3"/>
    <w:rsid w:val="00B30758"/>
    <w:rsid w:val="00B309D7"/>
    <w:rsid w:val="00B344FD"/>
    <w:rsid w:val="00B34C24"/>
    <w:rsid w:val="00B35305"/>
    <w:rsid w:val="00B36180"/>
    <w:rsid w:val="00B3618C"/>
    <w:rsid w:val="00B37FBA"/>
    <w:rsid w:val="00B4050B"/>
    <w:rsid w:val="00B467C0"/>
    <w:rsid w:val="00B469F0"/>
    <w:rsid w:val="00B46A65"/>
    <w:rsid w:val="00B47D50"/>
    <w:rsid w:val="00B47F81"/>
    <w:rsid w:val="00B5341E"/>
    <w:rsid w:val="00B54517"/>
    <w:rsid w:val="00B54AE9"/>
    <w:rsid w:val="00B56257"/>
    <w:rsid w:val="00B575B4"/>
    <w:rsid w:val="00B609FB"/>
    <w:rsid w:val="00B63621"/>
    <w:rsid w:val="00B64020"/>
    <w:rsid w:val="00B6411D"/>
    <w:rsid w:val="00B6484D"/>
    <w:rsid w:val="00B668E0"/>
    <w:rsid w:val="00B6737D"/>
    <w:rsid w:val="00B7653C"/>
    <w:rsid w:val="00B77747"/>
    <w:rsid w:val="00B84805"/>
    <w:rsid w:val="00B87159"/>
    <w:rsid w:val="00B9134E"/>
    <w:rsid w:val="00B92CA6"/>
    <w:rsid w:val="00B93CFD"/>
    <w:rsid w:val="00B958C4"/>
    <w:rsid w:val="00B961A0"/>
    <w:rsid w:val="00B976E2"/>
    <w:rsid w:val="00B9792C"/>
    <w:rsid w:val="00BA2ACD"/>
    <w:rsid w:val="00BA5B72"/>
    <w:rsid w:val="00BB1FBE"/>
    <w:rsid w:val="00BB345F"/>
    <w:rsid w:val="00BB38A0"/>
    <w:rsid w:val="00BB47E2"/>
    <w:rsid w:val="00BB61AE"/>
    <w:rsid w:val="00BC03DA"/>
    <w:rsid w:val="00BC04F3"/>
    <w:rsid w:val="00BC1CC7"/>
    <w:rsid w:val="00BC62DE"/>
    <w:rsid w:val="00BD0CA9"/>
    <w:rsid w:val="00BD148B"/>
    <w:rsid w:val="00BD3F73"/>
    <w:rsid w:val="00BD4DE2"/>
    <w:rsid w:val="00BD67E1"/>
    <w:rsid w:val="00BD797B"/>
    <w:rsid w:val="00BE1C69"/>
    <w:rsid w:val="00BE36E3"/>
    <w:rsid w:val="00BE5487"/>
    <w:rsid w:val="00BE5BD8"/>
    <w:rsid w:val="00BE7969"/>
    <w:rsid w:val="00BE7AE1"/>
    <w:rsid w:val="00BF3A0C"/>
    <w:rsid w:val="00BF5CBA"/>
    <w:rsid w:val="00BF6FAC"/>
    <w:rsid w:val="00BF7939"/>
    <w:rsid w:val="00C0206D"/>
    <w:rsid w:val="00C04FF1"/>
    <w:rsid w:val="00C06F74"/>
    <w:rsid w:val="00C07810"/>
    <w:rsid w:val="00C109DD"/>
    <w:rsid w:val="00C11384"/>
    <w:rsid w:val="00C145E5"/>
    <w:rsid w:val="00C147D1"/>
    <w:rsid w:val="00C17A6D"/>
    <w:rsid w:val="00C21018"/>
    <w:rsid w:val="00C24B25"/>
    <w:rsid w:val="00C258B9"/>
    <w:rsid w:val="00C25B65"/>
    <w:rsid w:val="00C30151"/>
    <w:rsid w:val="00C302B1"/>
    <w:rsid w:val="00C307D7"/>
    <w:rsid w:val="00C337FA"/>
    <w:rsid w:val="00C35A29"/>
    <w:rsid w:val="00C3602D"/>
    <w:rsid w:val="00C36E3B"/>
    <w:rsid w:val="00C4197B"/>
    <w:rsid w:val="00C41E30"/>
    <w:rsid w:val="00C46EE3"/>
    <w:rsid w:val="00C50268"/>
    <w:rsid w:val="00C518E6"/>
    <w:rsid w:val="00C518EB"/>
    <w:rsid w:val="00C54E87"/>
    <w:rsid w:val="00C60756"/>
    <w:rsid w:val="00C60969"/>
    <w:rsid w:val="00C62C87"/>
    <w:rsid w:val="00C6477F"/>
    <w:rsid w:val="00C71BAB"/>
    <w:rsid w:val="00C74BC0"/>
    <w:rsid w:val="00C81372"/>
    <w:rsid w:val="00C83B48"/>
    <w:rsid w:val="00C83E27"/>
    <w:rsid w:val="00C843D9"/>
    <w:rsid w:val="00C85FD6"/>
    <w:rsid w:val="00C9024E"/>
    <w:rsid w:val="00C91D29"/>
    <w:rsid w:val="00C93874"/>
    <w:rsid w:val="00C94917"/>
    <w:rsid w:val="00CA1707"/>
    <w:rsid w:val="00CA238A"/>
    <w:rsid w:val="00CA4AFD"/>
    <w:rsid w:val="00CB02A8"/>
    <w:rsid w:val="00CB64C2"/>
    <w:rsid w:val="00CB723B"/>
    <w:rsid w:val="00CB72E9"/>
    <w:rsid w:val="00CB7989"/>
    <w:rsid w:val="00CC04AC"/>
    <w:rsid w:val="00CC0D71"/>
    <w:rsid w:val="00CC1F55"/>
    <w:rsid w:val="00CC6F81"/>
    <w:rsid w:val="00CC79F5"/>
    <w:rsid w:val="00CD00E8"/>
    <w:rsid w:val="00CD060A"/>
    <w:rsid w:val="00CD164F"/>
    <w:rsid w:val="00CD4670"/>
    <w:rsid w:val="00CD4A38"/>
    <w:rsid w:val="00CD6D33"/>
    <w:rsid w:val="00CD71E6"/>
    <w:rsid w:val="00CD7D47"/>
    <w:rsid w:val="00CE0DE3"/>
    <w:rsid w:val="00CE102F"/>
    <w:rsid w:val="00CE119A"/>
    <w:rsid w:val="00CE152A"/>
    <w:rsid w:val="00CE1F8B"/>
    <w:rsid w:val="00CE279D"/>
    <w:rsid w:val="00CE32FF"/>
    <w:rsid w:val="00CE4951"/>
    <w:rsid w:val="00CE6F32"/>
    <w:rsid w:val="00CE78B7"/>
    <w:rsid w:val="00CF0AC7"/>
    <w:rsid w:val="00CF1958"/>
    <w:rsid w:val="00CF2FF8"/>
    <w:rsid w:val="00CF472F"/>
    <w:rsid w:val="00D02400"/>
    <w:rsid w:val="00D04C77"/>
    <w:rsid w:val="00D05CE1"/>
    <w:rsid w:val="00D0636E"/>
    <w:rsid w:val="00D071A9"/>
    <w:rsid w:val="00D105C0"/>
    <w:rsid w:val="00D10B7A"/>
    <w:rsid w:val="00D11603"/>
    <w:rsid w:val="00D22EF2"/>
    <w:rsid w:val="00D23E43"/>
    <w:rsid w:val="00D26231"/>
    <w:rsid w:val="00D30FA0"/>
    <w:rsid w:val="00D32C25"/>
    <w:rsid w:val="00D330DF"/>
    <w:rsid w:val="00D331ED"/>
    <w:rsid w:val="00D35107"/>
    <w:rsid w:val="00D3701A"/>
    <w:rsid w:val="00D375E4"/>
    <w:rsid w:val="00D37615"/>
    <w:rsid w:val="00D40384"/>
    <w:rsid w:val="00D40E3B"/>
    <w:rsid w:val="00D42A70"/>
    <w:rsid w:val="00D42B86"/>
    <w:rsid w:val="00D459C4"/>
    <w:rsid w:val="00D45F32"/>
    <w:rsid w:val="00D46349"/>
    <w:rsid w:val="00D47246"/>
    <w:rsid w:val="00D47FCA"/>
    <w:rsid w:val="00D5224A"/>
    <w:rsid w:val="00D52556"/>
    <w:rsid w:val="00D56D6E"/>
    <w:rsid w:val="00D6162B"/>
    <w:rsid w:val="00D62A6E"/>
    <w:rsid w:val="00D634E4"/>
    <w:rsid w:val="00D710DB"/>
    <w:rsid w:val="00D712BE"/>
    <w:rsid w:val="00D734FD"/>
    <w:rsid w:val="00D739A3"/>
    <w:rsid w:val="00D7449D"/>
    <w:rsid w:val="00D744A4"/>
    <w:rsid w:val="00D8012E"/>
    <w:rsid w:val="00D801E3"/>
    <w:rsid w:val="00D8096A"/>
    <w:rsid w:val="00D8498F"/>
    <w:rsid w:val="00D84F53"/>
    <w:rsid w:val="00D87E42"/>
    <w:rsid w:val="00D903E3"/>
    <w:rsid w:val="00D90DD7"/>
    <w:rsid w:val="00D91377"/>
    <w:rsid w:val="00D92A57"/>
    <w:rsid w:val="00DA4AD8"/>
    <w:rsid w:val="00DB0B77"/>
    <w:rsid w:val="00DB3411"/>
    <w:rsid w:val="00DB46D4"/>
    <w:rsid w:val="00DB747C"/>
    <w:rsid w:val="00DC098C"/>
    <w:rsid w:val="00DC0C46"/>
    <w:rsid w:val="00DC0EC3"/>
    <w:rsid w:val="00DC12BF"/>
    <w:rsid w:val="00DC1761"/>
    <w:rsid w:val="00DC2E3A"/>
    <w:rsid w:val="00DC4B8F"/>
    <w:rsid w:val="00DD27D7"/>
    <w:rsid w:val="00DD4A1C"/>
    <w:rsid w:val="00DD5622"/>
    <w:rsid w:val="00DE2B71"/>
    <w:rsid w:val="00DE5E22"/>
    <w:rsid w:val="00DF1380"/>
    <w:rsid w:val="00DF2A67"/>
    <w:rsid w:val="00DF3AC9"/>
    <w:rsid w:val="00DF48BA"/>
    <w:rsid w:val="00DF6011"/>
    <w:rsid w:val="00DF67D0"/>
    <w:rsid w:val="00DF6E7C"/>
    <w:rsid w:val="00E011FC"/>
    <w:rsid w:val="00E03DFA"/>
    <w:rsid w:val="00E06853"/>
    <w:rsid w:val="00E07AA0"/>
    <w:rsid w:val="00E1095C"/>
    <w:rsid w:val="00E1357D"/>
    <w:rsid w:val="00E14A7B"/>
    <w:rsid w:val="00E15902"/>
    <w:rsid w:val="00E15C6C"/>
    <w:rsid w:val="00E17ABC"/>
    <w:rsid w:val="00E20EA9"/>
    <w:rsid w:val="00E2381A"/>
    <w:rsid w:val="00E251BF"/>
    <w:rsid w:val="00E256FF"/>
    <w:rsid w:val="00E30697"/>
    <w:rsid w:val="00E30CC4"/>
    <w:rsid w:val="00E30E7C"/>
    <w:rsid w:val="00E30F96"/>
    <w:rsid w:val="00E31B56"/>
    <w:rsid w:val="00E3277D"/>
    <w:rsid w:val="00E331B9"/>
    <w:rsid w:val="00E34924"/>
    <w:rsid w:val="00E34C78"/>
    <w:rsid w:val="00E35B01"/>
    <w:rsid w:val="00E37793"/>
    <w:rsid w:val="00E37AB4"/>
    <w:rsid w:val="00E40598"/>
    <w:rsid w:val="00E4364E"/>
    <w:rsid w:val="00E441FA"/>
    <w:rsid w:val="00E4429E"/>
    <w:rsid w:val="00E442A3"/>
    <w:rsid w:val="00E44477"/>
    <w:rsid w:val="00E474CF"/>
    <w:rsid w:val="00E47CF6"/>
    <w:rsid w:val="00E5139B"/>
    <w:rsid w:val="00E53969"/>
    <w:rsid w:val="00E558FC"/>
    <w:rsid w:val="00E56240"/>
    <w:rsid w:val="00E56A7A"/>
    <w:rsid w:val="00E57C80"/>
    <w:rsid w:val="00E6210E"/>
    <w:rsid w:val="00E625C9"/>
    <w:rsid w:val="00E6267F"/>
    <w:rsid w:val="00E640AF"/>
    <w:rsid w:val="00E65CB0"/>
    <w:rsid w:val="00E66205"/>
    <w:rsid w:val="00E668A7"/>
    <w:rsid w:val="00E66BD3"/>
    <w:rsid w:val="00E671C7"/>
    <w:rsid w:val="00E67371"/>
    <w:rsid w:val="00E70057"/>
    <w:rsid w:val="00E710D4"/>
    <w:rsid w:val="00E73E9E"/>
    <w:rsid w:val="00E74627"/>
    <w:rsid w:val="00E7739A"/>
    <w:rsid w:val="00E805E1"/>
    <w:rsid w:val="00E8711C"/>
    <w:rsid w:val="00E90719"/>
    <w:rsid w:val="00E914C3"/>
    <w:rsid w:val="00E92354"/>
    <w:rsid w:val="00E937D0"/>
    <w:rsid w:val="00E95F6A"/>
    <w:rsid w:val="00E96BA1"/>
    <w:rsid w:val="00EA63E8"/>
    <w:rsid w:val="00EA7659"/>
    <w:rsid w:val="00EA7D34"/>
    <w:rsid w:val="00EB1DF7"/>
    <w:rsid w:val="00EB1F21"/>
    <w:rsid w:val="00EB2540"/>
    <w:rsid w:val="00EB2773"/>
    <w:rsid w:val="00EB3B35"/>
    <w:rsid w:val="00EB3E90"/>
    <w:rsid w:val="00EB4890"/>
    <w:rsid w:val="00EB65F1"/>
    <w:rsid w:val="00EC137C"/>
    <w:rsid w:val="00EC18BA"/>
    <w:rsid w:val="00EC40B3"/>
    <w:rsid w:val="00EC55FA"/>
    <w:rsid w:val="00EC6047"/>
    <w:rsid w:val="00ED43E8"/>
    <w:rsid w:val="00ED6DE6"/>
    <w:rsid w:val="00ED729F"/>
    <w:rsid w:val="00ED7A91"/>
    <w:rsid w:val="00EE24C8"/>
    <w:rsid w:val="00EE7550"/>
    <w:rsid w:val="00EF21BF"/>
    <w:rsid w:val="00EF2F39"/>
    <w:rsid w:val="00EF752B"/>
    <w:rsid w:val="00EF7AD7"/>
    <w:rsid w:val="00F0017F"/>
    <w:rsid w:val="00F04D1E"/>
    <w:rsid w:val="00F054F5"/>
    <w:rsid w:val="00F10130"/>
    <w:rsid w:val="00F10D2B"/>
    <w:rsid w:val="00F13EC5"/>
    <w:rsid w:val="00F1482E"/>
    <w:rsid w:val="00F17BE2"/>
    <w:rsid w:val="00F2125E"/>
    <w:rsid w:val="00F21D12"/>
    <w:rsid w:val="00F2204C"/>
    <w:rsid w:val="00F22109"/>
    <w:rsid w:val="00F22690"/>
    <w:rsid w:val="00F24715"/>
    <w:rsid w:val="00F24B32"/>
    <w:rsid w:val="00F25BCB"/>
    <w:rsid w:val="00F265D6"/>
    <w:rsid w:val="00F27CBF"/>
    <w:rsid w:val="00F30085"/>
    <w:rsid w:val="00F32F19"/>
    <w:rsid w:val="00F3433C"/>
    <w:rsid w:val="00F34528"/>
    <w:rsid w:val="00F35B02"/>
    <w:rsid w:val="00F36275"/>
    <w:rsid w:val="00F36816"/>
    <w:rsid w:val="00F374D5"/>
    <w:rsid w:val="00F37D83"/>
    <w:rsid w:val="00F40969"/>
    <w:rsid w:val="00F436E4"/>
    <w:rsid w:val="00F467F8"/>
    <w:rsid w:val="00F46BDC"/>
    <w:rsid w:val="00F478B6"/>
    <w:rsid w:val="00F5019B"/>
    <w:rsid w:val="00F51074"/>
    <w:rsid w:val="00F51824"/>
    <w:rsid w:val="00F543AF"/>
    <w:rsid w:val="00F5566B"/>
    <w:rsid w:val="00F556A4"/>
    <w:rsid w:val="00F56507"/>
    <w:rsid w:val="00F57131"/>
    <w:rsid w:val="00F62702"/>
    <w:rsid w:val="00F6459E"/>
    <w:rsid w:val="00F64CF3"/>
    <w:rsid w:val="00F651FE"/>
    <w:rsid w:val="00F65528"/>
    <w:rsid w:val="00F66500"/>
    <w:rsid w:val="00F66C41"/>
    <w:rsid w:val="00F70F1C"/>
    <w:rsid w:val="00F7154F"/>
    <w:rsid w:val="00F7342C"/>
    <w:rsid w:val="00F73A40"/>
    <w:rsid w:val="00F744F2"/>
    <w:rsid w:val="00F76014"/>
    <w:rsid w:val="00F80E73"/>
    <w:rsid w:val="00F83518"/>
    <w:rsid w:val="00F85E7D"/>
    <w:rsid w:val="00F90E92"/>
    <w:rsid w:val="00F92ACB"/>
    <w:rsid w:val="00F94DCD"/>
    <w:rsid w:val="00F9734F"/>
    <w:rsid w:val="00FA0752"/>
    <w:rsid w:val="00FA0A7C"/>
    <w:rsid w:val="00FA0F3E"/>
    <w:rsid w:val="00FA34DA"/>
    <w:rsid w:val="00FA6825"/>
    <w:rsid w:val="00FA6B9A"/>
    <w:rsid w:val="00FA6CC4"/>
    <w:rsid w:val="00FA76ED"/>
    <w:rsid w:val="00FA7C4C"/>
    <w:rsid w:val="00FB1113"/>
    <w:rsid w:val="00FB1DC9"/>
    <w:rsid w:val="00FB42D1"/>
    <w:rsid w:val="00FB4A11"/>
    <w:rsid w:val="00FC0E5E"/>
    <w:rsid w:val="00FC1462"/>
    <w:rsid w:val="00FC3A72"/>
    <w:rsid w:val="00FC3EF8"/>
    <w:rsid w:val="00FC447D"/>
    <w:rsid w:val="00FC5283"/>
    <w:rsid w:val="00FD709F"/>
    <w:rsid w:val="00FD7D0E"/>
    <w:rsid w:val="00FE01B4"/>
    <w:rsid w:val="00FE0613"/>
    <w:rsid w:val="00FE08B0"/>
    <w:rsid w:val="00FE11D8"/>
    <w:rsid w:val="00FE2195"/>
    <w:rsid w:val="00FE3728"/>
    <w:rsid w:val="00FE4840"/>
    <w:rsid w:val="00FE6760"/>
    <w:rsid w:val="00FE768C"/>
    <w:rsid w:val="00FF1FDB"/>
    <w:rsid w:val="00FF54B9"/>
    <w:rsid w:val="04261DF4"/>
    <w:rsid w:val="070F1A6D"/>
    <w:rsid w:val="1163101F"/>
    <w:rsid w:val="19887381"/>
    <w:rsid w:val="1FF446DC"/>
    <w:rsid w:val="206065BF"/>
    <w:rsid w:val="228E6B5D"/>
    <w:rsid w:val="25956780"/>
    <w:rsid w:val="2DD05220"/>
    <w:rsid w:val="2EE03747"/>
    <w:rsid w:val="309A1CC8"/>
    <w:rsid w:val="368B136E"/>
    <w:rsid w:val="3F116021"/>
    <w:rsid w:val="45362C16"/>
    <w:rsid w:val="50FB7956"/>
    <w:rsid w:val="5EA50C71"/>
    <w:rsid w:val="66FD7850"/>
    <w:rsid w:val="71D04333"/>
    <w:rsid w:val="788009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微软雅黑"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imes New Roman"/>
      <w:sz w:val="22"/>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jc w:val="center"/>
    </w:pPr>
    <w:rPr>
      <w:sz w:val="18"/>
      <w:szCs w:val="18"/>
    </w:rPr>
  </w:style>
  <w:style w:type="character" w:customStyle="1" w:styleId="6">
    <w:name w:val="页眉 Char"/>
    <w:basedOn w:val="5"/>
    <w:link w:val="3"/>
    <w:semiHidden/>
    <w:qFormat/>
    <w:uiPriority w:val="99"/>
    <w:rPr>
      <w:rFonts w:ascii="Tahoma" w:hAnsi="Tahoma"/>
      <w:sz w:val="18"/>
      <w:szCs w:val="18"/>
    </w:rPr>
  </w:style>
  <w:style w:type="character" w:customStyle="1" w:styleId="7">
    <w:name w:val="页脚 Char"/>
    <w:basedOn w:val="5"/>
    <w:link w:val="2"/>
    <w:qFormat/>
    <w:uiPriority w:val="99"/>
    <w:rPr>
      <w:rFonts w:ascii="Tahoma" w:hAnsi="Tahoma"/>
      <w:sz w:val="18"/>
      <w:szCs w:val="18"/>
    </w:rPr>
  </w:style>
  <w:style w:type="paragraph" w:customStyle="1" w:styleId="8">
    <w:name w:val="Char Char Char Char Char Char Char"/>
    <w:basedOn w:val="1"/>
    <w:uiPriority w:val="0"/>
    <w:pPr>
      <w:widowControl w:val="0"/>
      <w:adjustRightInd/>
      <w:snapToGrid/>
      <w:spacing w:after="0"/>
      <w:jc w:val="both"/>
    </w:pPr>
    <w:rPr>
      <w:rFonts w:ascii="Times New Roman" w:hAnsi="Times New Roman" w:eastAsia="宋体"/>
      <w:kern w:val="2"/>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AA8B40-4BD3-484F-A773-700A02F98874}">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32</Pages>
  <Words>2321</Words>
  <Characters>13231</Characters>
  <Lines>110</Lines>
  <Paragraphs>31</Paragraphs>
  <TotalTime>4</TotalTime>
  <ScaleCrop>false</ScaleCrop>
  <LinksUpToDate>false</LinksUpToDate>
  <CharactersWithSpaces>15521</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2017-01-16T15:58:00Z</dcterms:created>
  <dc:creator>Administrator</dc:creator>
  <cp:lastModifiedBy>口天wu</cp:lastModifiedBy>
  <cp:lastPrinted>2016-11-25T06:45:00Z</cp:lastPrinted>
  <dcterms:modified xsi:type="dcterms:W3CDTF">2024-11-08T08:38:17Z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0BE884E6B6DE4863A1C5538826E2D27A_12</vt:lpwstr>
  </property>
</Properties>
</file>